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087"/>
        <w:gridCol w:w="6"/>
        <w:gridCol w:w="2093"/>
        <w:gridCol w:w="1586"/>
        <w:gridCol w:w="1626"/>
      </w:tblGrid>
      <w:tr w:rsidR="00D6474E" w:rsidRPr="00205F7A" w:rsidTr="00205F7A">
        <w:trPr>
          <w:jc w:val="center"/>
        </w:trPr>
        <w:tc>
          <w:tcPr>
            <w:tcW w:w="9491" w:type="dxa"/>
            <w:gridSpan w:val="6"/>
            <w:tcBorders>
              <w:top w:val="single" w:sz="18" w:space="0" w:color="auto"/>
              <w:left w:val="single" w:sz="18" w:space="0" w:color="auto"/>
              <w:bottom w:val="single" w:sz="18" w:space="0" w:color="auto"/>
              <w:right w:val="single" w:sz="18" w:space="0" w:color="auto"/>
            </w:tcBorders>
          </w:tcPr>
          <w:p w:rsidR="00D6474E" w:rsidRPr="00F10E4D" w:rsidRDefault="003B0C12" w:rsidP="00ED1E4A">
            <w:pPr>
              <w:spacing w:before="60" w:after="60"/>
              <w:rPr>
                <w:sz w:val="32"/>
                <w:szCs w:val="32"/>
                <w:lang w:val="en-GB"/>
              </w:rPr>
            </w:pPr>
            <w:r w:rsidRPr="00F10E4D">
              <w:rPr>
                <w:i/>
                <w:sz w:val="20"/>
                <w:szCs w:val="20"/>
                <w:lang w:val="en-GB"/>
              </w:rPr>
              <w:t>Subject</w:t>
            </w:r>
            <w:r w:rsidR="00D6474E" w:rsidRPr="00F10E4D">
              <w:rPr>
                <w:lang w:val="en-GB"/>
              </w:rPr>
              <w:t>:</w:t>
            </w:r>
            <w:r w:rsidR="00D6474E" w:rsidRPr="00F10E4D">
              <w:rPr>
                <w:b/>
                <w:sz w:val="32"/>
                <w:szCs w:val="32"/>
                <w:lang w:val="en-GB"/>
              </w:rPr>
              <w:t xml:space="preserve"> </w:t>
            </w:r>
            <w:r w:rsidR="00ED1E4A" w:rsidRPr="00F10E4D">
              <w:rPr>
                <w:b/>
                <w:sz w:val="32"/>
                <w:szCs w:val="32"/>
                <w:lang w:val="en-GB"/>
              </w:rPr>
              <w:t xml:space="preserve">Environmental effects of </w:t>
            </w:r>
            <w:r w:rsidR="00831F00" w:rsidRPr="00F10E4D">
              <w:rPr>
                <w:b/>
                <w:sz w:val="32"/>
                <w:szCs w:val="32"/>
                <w:lang w:val="en-GB"/>
              </w:rPr>
              <w:t>Transport</w:t>
            </w:r>
          </w:p>
        </w:tc>
      </w:tr>
      <w:tr w:rsidR="00D6474E" w:rsidTr="00205F7A">
        <w:trPr>
          <w:jc w:val="center"/>
        </w:trPr>
        <w:tc>
          <w:tcPr>
            <w:tcW w:w="4180" w:type="dxa"/>
            <w:gridSpan w:val="2"/>
            <w:tcBorders>
              <w:top w:val="single" w:sz="18" w:space="0" w:color="auto"/>
              <w:left w:val="single" w:sz="18" w:space="0" w:color="auto"/>
              <w:bottom w:val="single" w:sz="4" w:space="0" w:color="auto"/>
              <w:right w:val="single" w:sz="4" w:space="0" w:color="auto"/>
            </w:tcBorders>
          </w:tcPr>
          <w:p w:rsidR="00D6474E" w:rsidRPr="003B0C12" w:rsidRDefault="00D6474E" w:rsidP="00C671F4">
            <w:pPr>
              <w:spacing w:before="60" w:after="60"/>
              <w:rPr>
                <w:b/>
                <w:lang w:val="en-GB"/>
              </w:rPr>
            </w:pPr>
          </w:p>
        </w:tc>
        <w:tc>
          <w:tcPr>
            <w:tcW w:w="3685" w:type="dxa"/>
            <w:gridSpan w:val="3"/>
            <w:tcBorders>
              <w:top w:val="single" w:sz="18" w:space="0" w:color="auto"/>
              <w:left w:val="single" w:sz="4" w:space="0" w:color="auto"/>
              <w:bottom w:val="single" w:sz="4" w:space="0" w:color="auto"/>
              <w:right w:val="single" w:sz="4" w:space="0" w:color="auto"/>
            </w:tcBorders>
          </w:tcPr>
          <w:p w:rsidR="00D6474E" w:rsidRPr="003B0C12" w:rsidRDefault="003B0C12" w:rsidP="004642CE">
            <w:pPr>
              <w:spacing w:before="60" w:after="60"/>
              <w:rPr>
                <w:lang w:val="en-GB"/>
              </w:rPr>
            </w:pPr>
            <w:r w:rsidRPr="003B0C12">
              <w:rPr>
                <w:i/>
                <w:sz w:val="20"/>
                <w:szCs w:val="20"/>
                <w:lang w:val="en-GB"/>
              </w:rPr>
              <w:t>Evaluation</w:t>
            </w:r>
            <w:r w:rsidR="00D6474E" w:rsidRPr="003B0C12">
              <w:rPr>
                <w:lang w:val="en-GB"/>
              </w:rPr>
              <w:t xml:space="preserve">: </w:t>
            </w:r>
            <w:r w:rsidR="004642CE" w:rsidRPr="004642CE">
              <w:rPr>
                <w:b/>
                <w:lang w:val="en-GB"/>
              </w:rPr>
              <w:t>Exam</w:t>
            </w:r>
          </w:p>
        </w:tc>
        <w:tc>
          <w:tcPr>
            <w:tcW w:w="1626" w:type="dxa"/>
            <w:tcBorders>
              <w:top w:val="single" w:sz="18" w:space="0" w:color="auto"/>
              <w:left w:val="single" w:sz="4" w:space="0" w:color="auto"/>
              <w:bottom w:val="single" w:sz="4" w:space="0" w:color="auto"/>
              <w:right w:val="single" w:sz="18" w:space="0" w:color="auto"/>
            </w:tcBorders>
          </w:tcPr>
          <w:p w:rsidR="00D6474E" w:rsidRPr="003B0C12" w:rsidRDefault="003B0C12" w:rsidP="00205F7A">
            <w:pPr>
              <w:spacing w:before="60" w:after="60"/>
              <w:rPr>
                <w:sz w:val="20"/>
                <w:szCs w:val="20"/>
                <w:lang w:val="en-GB"/>
              </w:rPr>
            </w:pPr>
            <w:r w:rsidRPr="003B0C12">
              <w:rPr>
                <w:i/>
                <w:sz w:val="20"/>
                <w:szCs w:val="20"/>
                <w:lang w:val="en-GB"/>
              </w:rPr>
              <w:t>Credits</w:t>
            </w:r>
            <w:r w:rsidR="00D6474E" w:rsidRPr="003B0C12">
              <w:rPr>
                <w:sz w:val="20"/>
                <w:szCs w:val="20"/>
                <w:lang w:val="en-GB"/>
              </w:rPr>
              <w:t xml:space="preserve">: </w:t>
            </w:r>
            <w:r w:rsidR="004642CE">
              <w:rPr>
                <w:b/>
                <w:noProof/>
                <w:sz w:val="28"/>
                <w:szCs w:val="28"/>
                <w:lang w:val="en-GB"/>
              </w:rPr>
              <w:t>2</w:t>
            </w:r>
          </w:p>
        </w:tc>
      </w:tr>
      <w:tr w:rsidR="00D6474E" w:rsidTr="003B0C12">
        <w:trPr>
          <w:jc w:val="center"/>
        </w:trPr>
        <w:tc>
          <w:tcPr>
            <w:tcW w:w="2093" w:type="dxa"/>
            <w:tcBorders>
              <w:top w:val="single" w:sz="4" w:space="0" w:color="auto"/>
              <w:left w:val="single" w:sz="18" w:space="0" w:color="auto"/>
              <w:bottom w:val="single" w:sz="4" w:space="0" w:color="auto"/>
              <w:right w:val="single" w:sz="4" w:space="0" w:color="auto"/>
            </w:tcBorders>
            <w:vAlign w:val="center"/>
          </w:tcPr>
          <w:p w:rsidR="00D6474E" w:rsidRPr="003B0C12" w:rsidRDefault="003B0C12" w:rsidP="004642CE">
            <w:pPr>
              <w:spacing w:before="60" w:after="60"/>
              <w:rPr>
                <w:i/>
                <w:sz w:val="20"/>
                <w:szCs w:val="20"/>
                <w:lang w:val="en-GB"/>
              </w:rPr>
            </w:pPr>
            <w:r w:rsidRPr="003B0C12">
              <w:rPr>
                <w:i/>
                <w:sz w:val="20"/>
                <w:szCs w:val="20"/>
                <w:lang w:val="en-GB"/>
              </w:rPr>
              <w:t>Lectures/week</w:t>
            </w:r>
            <w:r w:rsidR="00D6474E" w:rsidRPr="003B0C12">
              <w:rPr>
                <w:lang w:val="en-GB"/>
              </w:rPr>
              <w:t>:</w:t>
            </w:r>
            <w:r w:rsidR="00D6474E" w:rsidRPr="003B0C12">
              <w:rPr>
                <w:sz w:val="18"/>
                <w:szCs w:val="18"/>
                <w:lang w:val="en-GB"/>
              </w:rPr>
              <w:t xml:space="preserve"> </w:t>
            </w:r>
            <w:r w:rsidR="004642CE">
              <w:rPr>
                <w:sz w:val="18"/>
                <w:szCs w:val="18"/>
                <w:lang w:val="en-GB"/>
              </w:rPr>
              <w:t>1</w:t>
            </w:r>
          </w:p>
        </w:tc>
        <w:tc>
          <w:tcPr>
            <w:tcW w:w="2093" w:type="dxa"/>
            <w:gridSpan w:val="2"/>
            <w:tcBorders>
              <w:top w:val="single" w:sz="4" w:space="0" w:color="auto"/>
              <w:left w:val="single" w:sz="4" w:space="0" w:color="auto"/>
              <w:bottom w:val="single" w:sz="4" w:space="0" w:color="auto"/>
              <w:right w:val="single" w:sz="4" w:space="0" w:color="auto"/>
            </w:tcBorders>
            <w:vAlign w:val="center"/>
          </w:tcPr>
          <w:p w:rsidR="00D6474E" w:rsidRPr="003B0C12" w:rsidRDefault="003B0C12" w:rsidP="004642CE">
            <w:pPr>
              <w:spacing w:before="60" w:after="60"/>
              <w:rPr>
                <w:i/>
                <w:sz w:val="20"/>
                <w:szCs w:val="20"/>
                <w:lang w:val="en-GB"/>
              </w:rPr>
            </w:pPr>
            <w:r w:rsidRPr="003B0C12">
              <w:rPr>
                <w:i/>
                <w:sz w:val="20"/>
                <w:szCs w:val="20"/>
                <w:lang w:val="en-GB"/>
              </w:rPr>
              <w:t>Seminars/week</w:t>
            </w:r>
            <w:r w:rsidR="00D6474E" w:rsidRPr="003B0C12">
              <w:rPr>
                <w:lang w:val="en-GB"/>
              </w:rPr>
              <w:t>:</w:t>
            </w:r>
            <w:r w:rsidR="00D6474E" w:rsidRPr="003B0C12">
              <w:rPr>
                <w:sz w:val="18"/>
                <w:szCs w:val="18"/>
                <w:lang w:val="en-GB"/>
              </w:rPr>
              <w:t xml:space="preserve"> </w:t>
            </w:r>
            <w:r w:rsidR="004642CE">
              <w:rPr>
                <w:sz w:val="18"/>
                <w:szCs w:val="18"/>
                <w:lang w:val="en-GB"/>
              </w:rPr>
              <w:t>1</w:t>
            </w:r>
          </w:p>
        </w:tc>
        <w:tc>
          <w:tcPr>
            <w:tcW w:w="2093" w:type="dxa"/>
            <w:tcBorders>
              <w:top w:val="single" w:sz="4" w:space="0" w:color="auto"/>
              <w:left w:val="single" w:sz="4" w:space="0" w:color="auto"/>
              <w:bottom w:val="single" w:sz="4" w:space="0" w:color="auto"/>
              <w:right w:val="single" w:sz="4" w:space="0" w:color="auto"/>
            </w:tcBorders>
            <w:vAlign w:val="center"/>
          </w:tcPr>
          <w:p w:rsidR="00D6474E" w:rsidRPr="003B0C12" w:rsidRDefault="003B0C12" w:rsidP="004642CE">
            <w:pPr>
              <w:spacing w:before="60" w:after="60"/>
              <w:rPr>
                <w:i/>
                <w:sz w:val="20"/>
                <w:szCs w:val="20"/>
                <w:lang w:val="en-GB"/>
              </w:rPr>
            </w:pPr>
            <w:r w:rsidRPr="003B0C12">
              <w:rPr>
                <w:i/>
                <w:sz w:val="20"/>
                <w:szCs w:val="20"/>
                <w:lang w:val="en-GB"/>
              </w:rPr>
              <w:t>Laboratory work hours/week</w:t>
            </w:r>
            <w:r w:rsidR="00D6474E" w:rsidRPr="003B0C12">
              <w:rPr>
                <w:lang w:val="en-GB"/>
              </w:rPr>
              <w:t>:</w:t>
            </w:r>
            <w:r w:rsidR="00D6474E" w:rsidRPr="003B0C12">
              <w:rPr>
                <w:sz w:val="18"/>
                <w:szCs w:val="18"/>
                <w:lang w:val="en-GB"/>
              </w:rPr>
              <w:t xml:space="preserve"> </w:t>
            </w:r>
            <w:r w:rsidR="004642CE">
              <w:rPr>
                <w:sz w:val="18"/>
                <w:szCs w:val="18"/>
                <w:lang w:val="en-GB"/>
              </w:rPr>
              <w:t>-</w:t>
            </w:r>
          </w:p>
        </w:tc>
        <w:tc>
          <w:tcPr>
            <w:tcW w:w="3212" w:type="dxa"/>
            <w:gridSpan w:val="2"/>
            <w:tcBorders>
              <w:top w:val="single" w:sz="4" w:space="0" w:color="auto"/>
              <w:left w:val="single" w:sz="4" w:space="0" w:color="auto"/>
              <w:bottom w:val="single" w:sz="4" w:space="0" w:color="auto"/>
              <w:right w:val="single" w:sz="18" w:space="0" w:color="auto"/>
            </w:tcBorders>
            <w:vAlign w:val="center"/>
          </w:tcPr>
          <w:p w:rsidR="00D6474E" w:rsidRPr="003B0C12" w:rsidRDefault="003B0C12" w:rsidP="004642CE">
            <w:pPr>
              <w:spacing w:before="60" w:after="60"/>
              <w:rPr>
                <w:lang w:val="en-GB"/>
              </w:rPr>
            </w:pPr>
            <w:r w:rsidRPr="003B0C12">
              <w:rPr>
                <w:i/>
                <w:sz w:val="20"/>
                <w:szCs w:val="20"/>
                <w:lang w:val="en-GB"/>
              </w:rPr>
              <w:t>Code</w:t>
            </w:r>
            <w:r w:rsidR="00D6474E" w:rsidRPr="003B0C12">
              <w:rPr>
                <w:lang w:val="en-GB"/>
              </w:rPr>
              <w:t xml:space="preserve">: </w:t>
            </w:r>
            <w:r w:rsidR="00D6474E" w:rsidRPr="003B0C12">
              <w:rPr>
                <w:b/>
                <w:noProof/>
                <w:sz w:val="32"/>
                <w:szCs w:val="32"/>
                <w:lang w:val="en-GB"/>
              </w:rPr>
              <w:t>KOK</w:t>
            </w:r>
            <w:r w:rsidR="004642CE">
              <w:rPr>
                <w:b/>
                <w:noProof/>
                <w:sz w:val="32"/>
                <w:szCs w:val="32"/>
                <w:lang w:val="en-GB"/>
              </w:rPr>
              <w:t>UD020</w:t>
            </w:r>
          </w:p>
        </w:tc>
      </w:tr>
      <w:tr w:rsidR="00D6474E" w:rsidTr="00205F7A">
        <w:trPr>
          <w:jc w:val="center"/>
        </w:trPr>
        <w:tc>
          <w:tcPr>
            <w:tcW w:w="9491" w:type="dxa"/>
            <w:gridSpan w:val="6"/>
            <w:tcBorders>
              <w:top w:val="single" w:sz="4" w:space="0" w:color="auto"/>
              <w:left w:val="single" w:sz="18" w:space="0" w:color="auto"/>
              <w:bottom w:val="single" w:sz="4" w:space="0" w:color="auto"/>
              <w:right w:val="single" w:sz="18" w:space="0" w:color="auto"/>
            </w:tcBorders>
          </w:tcPr>
          <w:p w:rsidR="00D6474E" w:rsidRPr="003B0C12" w:rsidRDefault="003B0C12" w:rsidP="003B0C12">
            <w:pPr>
              <w:spacing w:before="60" w:after="60"/>
              <w:ind w:left="2229" w:hanging="2229"/>
              <w:rPr>
                <w:lang w:val="en-GB"/>
              </w:rPr>
            </w:pPr>
            <w:r w:rsidRPr="00537516">
              <w:rPr>
                <w:i/>
                <w:sz w:val="20"/>
                <w:szCs w:val="20"/>
                <w:lang w:val="en-US"/>
              </w:rPr>
              <w:t>Department</w:t>
            </w:r>
            <w:r>
              <w:rPr>
                <w:i/>
                <w:sz w:val="20"/>
                <w:szCs w:val="20"/>
                <w:lang w:val="en-US"/>
              </w:rPr>
              <w:t>:</w:t>
            </w:r>
            <w:r w:rsidRPr="00537516">
              <w:rPr>
                <w:lang w:val="en-US"/>
              </w:rPr>
              <w:t xml:space="preserve"> </w:t>
            </w:r>
            <w:r w:rsidRPr="00537516">
              <w:rPr>
                <w:b/>
                <w:noProof/>
                <w:sz w:val="28"/>
                <w:szCs w:val="28"/>
                <w:lang w:val="en-US"/>
              </w:rPr>
              <w:t>Transport Technology and Economics</w:t>
            </w:r>
          </w:p>
        </w:tc>
      </w:tr>
      <w:tr w:rsidR="00D6474E" w:rsidTr="00205F7A">
        <w:trPr>
          <w:jc w:val="center"/>
        </w:trPr>
        <w:tc>
          <w:tcPr>
            <w:tcW w:w="9491" w:type="dxa"/>
            <w:gridSpan w:val="6"/>
            <w:tcBorders>
              <w:top w:val="single" w:sz="4" w:space="0" w:color="auto"/>
              <w:left w:val="single" w:sz="18" w:space="0" w:color="auto"/>
              <w:bottom w:val="single" w:sz="4" w:space="0" w:color="auto"/>
              <w:right w:val="single" w:sz="18" w:space="0" w:color="auto"/>
            </w:tcBorders>
          </w:tcPr>
          <w:p w:rsidR="005312E2" w:rsidRPr="003B0C12" w:rsidRDefault="003B0C12" w:rsidP="00ED1E4A">
            <w:pPr>
              <w:spacing w:before="60" w:after="60"/>
              <w:ind w:left="1979" w:hanging="1979"/>
              <w:rPr>
                <w:lang w:val="en-GB"/>
              </w:rPr>
            </w:pPr>
            <w:r w:rsidRPr="00537516">
              <w:rPr>
                <w:i/>
                <w:sz w:val="20"/>
                <w:szCs w:val="20"/>
                <w:lang w:val="en-US"/>
              </w:rPr>
              <w:t>Lecturer:</w:t>
            </w:r>
            <w:r w:rsidRPr="00537516">
              <w:rPr>
                <w:lang w:val="en-US"/>
              </w:rPr>
              <w:t xml:space="preserve"> </w:t>
            </w:r>
            <w:r w:rsidR="00ED1E4A" w:rsidRPr="00ED1E4A">
              <w:rPr>
                <w:b/>
                <w:sz w:val="28"/>
                <w:szCs w:val="28"/>
                <w:lang w:val="en-US"/>
              </w:rPr>
              <w:t>Péter Mészáros</w:t>
            </w:r>
            <w:r w:rsidR="00ED1E4A">
              <w:rPr>
                <w:lang w:val="en-US"/>
              </w:rPr>
              <w:t xml:space="preserve"> </w:t>
            </w:r>
            <w:r w:rsidR="00ED1E4A">
              <w:rPr>
                <w:b/>
                <w:sz w:val="28"/>
                <w:szCs w:val="28"/>
                <w:lang w:val="en-US"/>
              </w:rPr>
              <w:t>As</w:t>
            </w:r>
            <w:r w:rsidRPr="00537516">
              <w:rPr>
                <w:b/>
                <w:sz w:val="28"/>
                <w:szCs w:val="28"/>
                <w:lang w:val="en-US"/>
              </w:rPr>
              <w:t>s</w:t>
            </w:r>
            <w:r w:rsidR="00ED1E4A">
              <w:rPr>
                <w:b/>
                <w:sz w:val="28"/>
                <w:szCs w:val="28"/>
                <w:lang w:val="en-US"/>
              </w:rPr>
              <w:t>. Prof.</w:t>
            </w:r>
          </w:p>
        </w:tc>
      </w:tr>
      <w:tr w:rsidR="00D6474E" w:rsidTr="003B0C12">
        <w:trPr>
          <w:trHeight w:val="340"/>
          <w:jc w:val="center"/>
        </w:trPr>
        <w:tc>
          <w:tcPr>
            <w:tcW w:w="4180" w:type="dxa"/>
            <w:gridSpan w:val="2"/>
            <w:tcBorders>
              <w:top w:val="single" w:sz="4" w:space="0" w:color="auto"/>
              <w:left w:val="single" w:sz="18" w:space="0" w:color="auto"/>
              <w:bottom w:val="single" w:sz="18" w:space="0" w:color="auto"/>
              <w:right w:val="single" w:sz="4" w:space="0" w:color="auto"/>
            </w:tcBorders>
            <w:vAlign w:val="center"/>
          </w:tcPr>
          <w:p w:rsidR="00D6474E" w:rsidRPr="003B0C12" w:rsidRDefault="003B0C12" w:rsidP="003B0C12">
            <w:pPr>
              <w:spacing w:before="60"/>
              <w:rPr>
                <w:lang w:val="en-GB"/>
              </w:rPr>
            </w:pPr>
            <w:r w:rsidRPr="00537516">
              <w:rPr>
                <w:i/>
                <w:sz w:val="20"/>
                <w:szCs w:val="20"/>
                <w:lang w:val="en-US"/>
              </w:rPr>
              <w:t>Mandatory pre-requiremen</w:t>
            </w:r>
            <w:r>
              <w:rPr>
                <w:i/>
                <w:sz w:val="20"/>
                <w:szCs w:val="20"/>
                <w:lang w:val="en-US"/>
              </w:rPr>
              <w:t>t:</w:t>
            </w:r>
            <w:r w:rsidR="00831F00" w:rsidRPr="003B0C12">
              <w:rPr>
                <w:lang w:val="en-GB"/>
              </w:rPr>
              <w:t xml:space="preserve"> </w:t>
            </w:r>
          </w:p>
        </w:tc>
        <w:tc>
          <w:tcPr>
            <w:tcW w:w="5311" w:type="dxa"/>
            <w:gridSpan w:val="4"/>
            <w:tcBorders>
              <w:top w:val="single" w:sz="4" w:space="0" w:color="auto"/>
              <w:left w:val="single" w:sz="4" w:space="0" w:color="auto"/>
              <w:bottom w:val="single" w:sz="18" w:space="0" w:color="auto"/>
              <w:right w:val="single" w:sz="18" w:space="0" w:color="auto"/>
            </w:tcBorders>
            <w:vAlign w:val="center"/>
          </w:tcPr>
          <w:p w:rsidR="00D6474E" w:rsidRPr="003B0C12" w:rsidRDefault="003B0C12" w:rsidP="003B0C12">
            <w:pPr>
              <w:spacing w:before="60"/>
              <w:rPr>
                <w:lang w:val="en-GB"/>
              </w:rPr>
            </w:pPr>
            <w:r w:rsidRPr="00537516">
              <w:rPr>
                <w:i/>
                <w:sz w:val="20"/>
                <w:szCs w:val="20"/>
                <w:lang w:val="en-US"/>
              </w:rPr>
              <w:t>Recommended pre-requiremen</w:t>
            </w:r>
            <w:r>
              <w:rPr>
                <w:i/>
                <w:sz w:val="20"/>
                <w:szCs w:val="20"/>
                <w:lang w:val="en-US"/>
              </w:rPr>
              <w:t>t:</w:t>
            </w:r>
          </w:p>
        </w:tc>
      </w:tr>
      <w:tr w:rsidR="00D6474E" w:rsidTr="00205F7A">
        <w:trPr>
          <w:trHeight w:val="1134"/>
          <w:jc w:val="center"/>
        </w:trPr>
        <w:tc>
          <w:tcPr>
            <w:tcW w:w="9491" w:type="dxa"/>
            <w:gridSpan w:val="6"/>
            <w:tcBorders>
              <w:top w:val="single" w:sz="18" w:space="0" w:color="auto"/>
            </w:tcBorders>
          </w:tcPr>
          <w:p w:rsidR="003B0C12" w:rsidRDefault="003B0C12" w:rsidP="003B0C12">
            <w:pPr>
              <w:spacing w:before="60"/>
              <w:jc w:val="both"/>
              <w:rPr>
                <w:i/>
                <w:sz w:val="20"/>
                <w:szCs w:val="20"/>
                <w:lang w:val="en-US"/>
              </w:rPr>
            </w:pPr>
            <w:r w:rsidRPr="00537516">
              <w:rPr>
                <w:i/>
                <w:sz w:val="20"/>
                <w:szCs w:val="20"/>
                <w:lang w:val="en-US"/>
              </w:rPr>
              <w:t xml:space="preserve">Objective of subject: </w:t>
            </w:r>
          </w:p>
          <w:p w:rsidR="006A2429" w:rsidRPr="003B0C12" w:rsidRDefault="004642CE" w:rsidP="006A2429">
            <w:pPr>
              <w:spacing w:before="60"/>
              <w:jc w:val="both"/>
              <w:rPr>
                <w:lang w:val="en-GB"/>
              </w:rPr>
            </w:pPr>
            <w:r>
              <w:rPr>
                <w:lang w:val="en-GB"/>
              </w:rPr>
              <w:t>Survey of environmental impacts of transport, methods of transport planning, management and control, based on environmental consciousness. Investigation of feasibility of sustainable transport systems.</w:t>
            </w:r>
          </w:p>
          <w:p w:rsidR="00D6474E" w:rsidRPr="003B0C12" w:rsidRDefault="008F2870" w:rsidP="005C6F4B">
            <w:pPr>
              <w:spacing w:before="60"/>
              <w:jc w:val="both"/>
              <w:rPr>
                <w:lang w:val="en-GB"/>
              </w:rPr>
            </w:pPr>
            <w:r w:rsidRPr="003B0C12">
              <w:rPr>
                <w:lang w:val="en-GB"/>
              </w:rPr>
              <w:t>.</w:t>
            </w:r>
          </w:p>
        </w:tc>
      </w:tr>
      <w:tr w:rsidR="00D6474E" w:rsidTr="00205F7A">
        <w:trPr>
          <w:trHeight w:val="2268"/>
          <w:jc w:val="center"/>
        </w:trPr>
        <w:tc>
          <w:tcPr>
            <w:tcW w:w="9491" w:type="dxa"/>
            <w:gridSpan w:val="6"/>
          </w:tcPr>
          <w:p w:rsidR="003B0C12" w:rsidRPr="00537516" w:rsidRDefault="003B0C12" w:rsidP="003B0C12">
            <w:pPr>
              <w:spacing w:before="60"/>
              <w:jc w:val="both"/>
              <w:rPr>
                <w:lang w:val="en-US"/>
              </w:rPr>
            </w:pPr>
            <w:r w:rsidRPr="00537516">
              <w:rPr>
                <w:i/>
                <w:sz w:val="20"/>
                <w:szCs w:val="20"/>
                <w:lang w:val="en-US"/>
              </w:rPr>
              <w:t>Description of subject</w:t>
            </w:r>
            <w:r w:rsidRPr="00537516">
              <w:rPr>
                <w:lang w:val="en-US"/>
              </w:rPr>
              <w:t xml:space="preserve">: </w:t>
            </w:r>
          </w:p>
          <w:p w:rsidR="006A2429" w:rsidRPr="00DF44F7" w:rsidRDefault="006A2429" w:rsidP="006A2429">
            <w:pPr>
              <w:rPr>
                <w:lang w:val="en-GB"/>
              </w:rPr>
            </w:pPr>
            <w:r w:rsidRPr="00DF44F7">
              <w:rPr>
                <w:lang w:val="en-GB"/>
              </w:rPr>
              <w:t xml:space="preserve">Transport- environment, </w:t>
            </w:r>
            <w:r>
              <w:rPr>
                <w:lang w:val="en-GB"/>
              </w:rPr>
              <w:t xml:space="preserve">factors of environmental impact, the problem of sustainability. Mitigation of environmental impacts of transport, regulations, policies, tendencies, practices. Local and international case studies. EIA, decision making, preparation of decisions on the field of transport infrastructure development. Integration of transport and land use policies. Environmental conflicts of freight transport, </w:t>
            </w:r>
            <w:proofErr w:type="spellStart"/>
            <w:r>
              <w:rPr>
                <w:lang w:val="en-GB"/>
              </w:rPr>
              <w:t>intermodality</w:t>
            </w:r>
            <w:proofErr w:type="spellEnd"/>
            <w:r>
              <w:rPr>
                <w:lang w:val="en-GB"/>
              </w:rPr>
              <w:t xml:space="preserve"> and transit policies. Environmental costs of transport, the case of externalities, prices and charges. Urban transport, opportunities of sustainable urban environmental management, integration of environmentally sound mobility forms. Sustainable Urban Mobility Plans. Demand management, parking and road charges. Requirements of fuel efficiency, alternative fuels, energy efficient and environmentally enhanced vehicles.</w:t>
            </w:r>
          </w:p>
          <w:p w:rsidR="00CC3D4A" w:rsidRPr="003B0C12" w:rsidRDefault="00A011A8" w:rsidP="00205F7A">
            <w:pPr>
              <w:spacing w:before="60"/>
              <w:jc w:val="both"/>
              <w:rPr>
                <w:sz w:val="20"/>
                <w:szCs w:val="20"/>
                <w:lang w:val="en-GB"/>
              </w:rPr>
            </w:pPr>
            <w:r>
              <w:rPr>
                <w:i/>
                <w:sz w:val="20"/>
                <w:szCs w:val="20"/>
                <w:lang w:val="en-GB"/>
              </w:rPr>
              <w:t>Practice</w:t>
            </w:r>
            <w:r w:rsidR="00CC3D4A" w:rsidRPr="003B0C12">
              <w:rPr>
                <w:i/>
                <w:sz w:val="20"/>
                <w:szCs w:val="20"/>
                <w:lang w:val="en-GB"/>
              </w:rPr>
              <w:t>:</w:t>
            </w:r>
            <w:r w:rsidR="00D6474E" w:rsidRPr="003B0C12">
              <w:rPr>
                <w:sz w:val="20"/>
                <w:szCs w:val="20"/>
                <w:lang w:val="en-GB"/>
              </w:rPr>
              <w:t xml:space="preserve"> </w:t>
            </w:r>
          </w:p>
          <w:p w:rsidR="00D6474E" w:rsidRPr="003B0C12" w:rsidRDefault="00A011A8" w:rsidP="006A2429">
            <w:pPr>
              <w:spacing w:before="60"/>
              <w:jc w:val="both"/>
              <w:rPr>
                <w:lang w:val="en-GB"/>
              </w:rPr>
            </w:pPr>
            <w:r w:rsidRPr="00E27118">
              <w:rPr>
                <w:lang w:val="en-GB"/>
              </w:rPr>
              <w:t xml:space="preserve">The objective of the practical seminars is to extend and deepen the knowledge </w:t>
            </w:r>
            <w:r>
              <w:rPr>
                <w:lang w:val="en-GB"/>
              </w:rPr>
              <w:t>of the different measurement, methods</w:t>
            </w:r>
            <w:r w:rsidR="00E27118">
              <w:rPr>
                <w:lang w:val="en-GB"/>
              </w:rPr>
              <w:t xml:space="preserve">. Case studies. Independent literature research supported by consultations. </w:t>
            </w:r>
            <w:r w:rsidR="003C27EB">
              <w:rPr>
                <w:lang w:val="en-GB"/>
              </w:rPr>
              <w:t>S</w:t>
            </w:r>
            <w:r w:rsidR="00E27118">
              <w:rPr>
                <w:lang w:val="en-GB"/>
              </w:rPr>
              <w:t>tudent presentations.</w:t>
            </w:r>
            <w:r w:rsidR="00CC3D4A" w:rsidRPr="003B0C12">
              <w:rPr>
                <w:lang w:val="en-GB"/>
              </w:rPr>
              <w:t xml:space="preserve"> </w:t>
            </w:r>
            <w:r w:rsidR="006A2429">
              <w:rPr>
                <w:lang w:val="en-GB"/>
              </w:rPr>
              <w:t xml:space="preserve"> External and internal consultations with experts of related fields.</w:t>
            </w:r>
          </w:p>
        </w:tc>
      </w:tr>
      <w:tr w:rsidR="00D6474E" w:rsidTr="00205F7A">
        <w:trPr>
          <w:trHeight w:val="1134"/>
          <w:jc w:val="center"/>
        </w:trPr>
        <w:tc>
          <w:tcPr>
            <w:tcW w:w="9491" w:type="dxa"/>
            <w:gridSpan w:val="6"/>
          </w:tcPr>
          <w:p w:rsidR="003B0C12" w:rsidRPr="00537516" w:rsidRDefault="003B0C12" w:rsidP="003B0C12">
            <w:pPr>
              <w:spacing w:before="60"/>
              <w:jc w:val="both"/>
              <w:rPr>
                <w:lang w:val="en-US"/>
              </w:rPr>
            </w:pPr>
            <w:r w:rsidRPr="00537516">
              <w:rPr>
                <w:i/>
                <w:sz w:val="20"/>
                <w:szCs w:val="20"/>
                <w:lang w:val="en-US"/>
              </w:rPr>
              <w:t>Individual student assignments</w:t>
            </w:r>
            <w:r w:rsidRPr="00537516">
              <w:rPr>
                <w:lang w:val="en-US"/>
              </w:rPr>
              <w:t xml:space="preserve">: </w:t>
            </w:r>
          </w:p>
          <w:p w:rsidR="00D6474E" w:rsidRPr="003B0C12" w:rsidRDefault="003B0C12" w:rsidP="006A2429">
            <w:pPr>
              <w:spacing w:before="60"/>
              <w:jc w:val="both"/>
              <w:rPr>
                <w:lang w:val="en-GB"/>
              </w:rPr>
            </w:pPr>
            <w:r>
              <w:rPr>
                <w:lang w:val="en-GB"/>
              </w:rPr>
              <w:t xml:space="preserve">During the semester the students should elaborate </w:t>
            </w:r>
            <w:r w:rsidR="006A2429">
              <w:rPr>
                <w:lang w:val="en-GB"/>
              </w:rPr>
              <w:t xml:space="preserve">one </w:t>
            </w:r>
            <w:r>
              <w:rPr>
                <w:lang w:val="en-GB"/>
              </w:rPr>
              <w:t xml:space="preserve">individually </w:t>
            </w:r>
            <w:r w:rsidR="006A2429">
              <w:rPr>
                <w:lang w:val="en-GB"/>
              </w:rPr>
              <w:t xml:space="preserve">selected and formulated </w:t>
            </w:r>
            <w:r w:rsidR="007B7A79">
              <w:rPr>
                <w:lang w:val="en-GB"/>
              </w:rPr>
              <w:t>assignment. The task should be presented.</w:t>
            </w:r>
          </w:p>
        </w:tc>
      </w:tr>
      <w:tr w:rsidR="00D6474E" w:rsidTr="00205F7A">
        <w:trPr>
          <w:trHeight w:val="1134"/>
          <w:jc w:val="center"/>
        </w:trPr>
        <w:tc>
          <w:tcPr>
            <w:tcW w:w="9491" w:type="dxa"/>
            <w:gridSpan w:val="6"/>
          </w:tcPr>
          <w:p w:rsidR="00550F0E" w:rsidRPr="00537516" w:rsidRDefault="00550F0E" w:rsidP="00550F0E">
            <w:pPr>
              <w:spacing w:before="60"/>
              <w:jc w:val="both"/>
              <w:rPr>
                <w:sz w:val="20"/>
                <w:szCs w:val="20"/>
                <w:lang w:val="en-US"/>
              </w:rPr>
            </w:pPr>
            <w:r w:rsidRPr="0004099B">
              <w:rPr>
                <w:i/>
                <w:sz w:val="20"/>
                <w:szCs w:val="20"/>
                <w:lang w:val="en-US"/>
              </w:rPr>
              <w:t>Determination of mark</w:t>
            </w:r>
            <w:r w:rsidRPr="00537516">
              <w:rPr>
                <w:i/>
                <w:sz w:val="20"/>
                <w:szCs w:val="20"/>
                <w:lang w:val="en-US"/>
              </w:rPr>
              <w:t>, requirements of exam</w:t>
            </w:r>
            <w:r w:rsidRPr="00537516">
              <w:rPr>
                <w:sz w:val="20"/>
                <w:szCs w:val="20"/>
                <w:lang w:val="en-US"/>
              </w:rPr>
              <w:t xml:space="preserve">: </w:t>
            </w:r>
          </w:p>
          <w:p w:rsidR="00D6474E" w:rsidRPr="003B0C12" w:rsidRDefault="00550F0E" w:rsidP="00550F0E">
            <w:pPr>
              <w:spacing w:before="60"/>
              <w:jc w:val="both"/>
              <w:rPr>
                <w:lang w:val="en-GB"/>
              </w:rPr>
            </w:pPr>
            <w:r>
              <w:rPr>
                <w:lang w:val="en-GB"/>
              </w:rPr>
              <w:t>Eva</w:t>
            </w:r>
            <w:bookmarkStart w:id="0" w:name="_GoBack"/>
            <w:bookmarkEnd w:id="0"/>
            <w:r>
              <w:rPr>
                <w:lang w:val="en-GB"/>
              </w:rPr>
              <w:t>luation of submitted and presented assignment, semester paper of the student.</w:t>
            </w:r>
          </w:p>
        </w:tc>
      </w:tr>
      <w:tr w:rsidR="00D6474E" w:rsidTr="00205F7A">
        <w:trPr>
          <w:trHeight w:val="1348"/>
          <w:jc w:val="center"/>
        </w:trPr>
        <w:tc>
          <w:tcPr>
            <w:tcW w:w="9491" w:type="dxa"/>
            <w:gridSpan w:val="6"/>
          </w:tcPr>
          <w:p w:rsidR="003B0C12" w:rsidRPr="00537516" w:rsidRDefault="003B0C12" w:rsidP="003B0C12">
            <w:pPr>
              <w:spacing w:before="60" w:after="60"/>
              <w:rPr>
                <w:lang w:val="en-US"/>
              </w:rPr>
            </w:pPr>
            <w:r w:rsidRPr="00537516">
              <w:rPr>
                <w:i/>
                <w:sz w:val="20"/>
                <w:szCs w:val="20"/>
                <w:lang w:val="en-US"/>
              </w:rPr>
              <w:t>Literature, study-aid</w:t>
            </w:r>
            <w:r w:rsidRPr="00537516">
              <w:rPr>
                <w:lang w:val="en-US"/>
              </w:rPr>
              <w:t>:</w:t>
            </w:r>
          </w:p>
          <w:p w:rsidR="00550F0E" w:rsidRPr="00F5586B" w:rsidRDefault="00C37DA4" w:rsidP="00550F0E">
            <w:pPr>
              <w:numPr>
                <w:ilvl w:val="0"/>
                <w:numId w:val="4"/>
              </w:numPr>
            </w:pPr>
            <w:r w:rsidRPr="008D5873">
              <w:rPr>
                <w:lang w:val="en-GB"/>
              </w:rPr>
              <w:t xml:space="preserve"> </w:t>
            </w:r>
            <w:proofErr w:type="spellStart"/>
            <w:r w:rsidR="00550F0E" w:rsidRPr="00F5586B">
              <w:t>Knoflacher</w:t>
            </w:r>
            <w:proofErr w:type="spellEnd"/>
            <w:r w:rsidR="00550F0E" w:rsidRPr="00F5586B">
              <w:t xml:space="preserve"> H</w:t>
            </w:r>
            <w:proofErr w:type="gramStart"/>
            <w:r w:rsidR="00550F0E" w:rsidRPr="00F5586B">
              <w:t>.:</w:t>
            </w:r>
            <w:proofErr w:type="gramEnd"/>
            <w:r w:rsidR="00550F0E" w:rsidRPr="00F5586B">
              <w:t xml:space="preserve"> </w:t>
            </w:r>
            <w:proofErr w:type="spellStart"/>
            <w:r w:rsidR="00550F0E" w:rsidRPr="00F5586B">
              <w:t>Zur</w:t>
            </w:r>
            <w:proofErr w:type="spellEnd"/>
            <w:r w:rsidR="00550F0E" w:rsidRPr="00F5586B">
              <w:t xml:space="preserve"> </w:t>
            </w:r>
            <w:proofErr w:type="spellStart"/>
            <w:r w:rsidR="00550F0E" w:rsidRPr="00F5586B">
              <w:t>Harmonie</w:t>
            </w:r>
            <w:proofErr w:type="spellEnd"/>
            <w:r w:rsidR="00550F0E" w:rsidRPr="00F5586B">
              <w:t xml:space="preserve"> von </w:t>
            </w:r>
            <w:proofErr w:type="spellStart"/>
            <w:r w:rsidR="00550F0E" w:rsidRPr="00F5586B">
              <w:t>Stadt</w:t>
            </w:r>
            <w:proofErr w:type="spellEnd"/>
            <w:r w:rsidR="00550F0E" w:rsidRPr="00F5586B">
              <w:t xml:space="preserve"> und </w:t>
            </w:r>
            <w:proofErr w:type="spellStart"/>
            <w:r w:rsidR="00550F0E" w:rsidRPr="00F5586B">
              <w:t>Verkehr</w:t>
            </w:r>
            <w:proofErr w:type="spellEnd"/>
            <w:r w:rsidR="00550F0E" w:rsidRPr="00F5586B">
              <w:t xml:space="preserve">. Springer </w:t>
            </w:r>
            <w:proofErr w:type="spellStart"/>
            <w:r w:rsidR="00550F0E" w:rsidRPr="00F5586B">
              <w:t>Verlag</w:t>
            </w:r>
            <w:proofErr w:type="spellEnd"/>
            <w:r w:rsidR="00550F0E" w:rsidRPr="00F5586B">
              <w:t>.</w:t>
            </w:r>
          </w:p>
          <w:p w:rsidR="00550F0E" w:rsidRPr="00F5586B" w:rsidRDefault="00550F0E" w:rsidP="00550F0E">
            <w:pPr>
              <w:numPr>
                <w:ilvl w:val="0"/>
                <w:numId w:val="4"/>
              </w:numPr>
            </w:pPr>
            <w:proofErr w:type="spellStart"/>
            <w:r w:rsidRPr="00F5586B">
              <w:t>Knoflacher</w:t>
            </w:r>
            <w:proofErr w:type="spellEnd"/>
            <w:r w:rsidRPr="00F5586B">
              <w:t xml:space="preserve"> H</w:t>
            </w:r>
            <w:proofErr w:type="gramStart"/>
            <w:r w:rsidRPr="00F5586B">
              <w:t>.:</w:t>
            </w:r>
            <w:proofErr w:type="gramEnd"/>
            <w:r w:rsidRPr="00F5586B">
              <w:t xml:space="preserve"> </w:t>
            </w:r>
            <w:proofErr w:type="spellStart"/>
            <w:r w:rsidRPr="00F5586B">
              <w:t>Umweltgerechter</w:t>
            </w:r>
            <w:proofErr w:type="spellEnd"/>
            <w:r w:rsidRPr="00F5586B">
              <w:t xml:space="preserve"> </w:t>
            </w:r>
            <w:proofErr w:type="spellStart"/>
            <w:r w:rsidRPr="00F5586B">
              <w:t>Verkehr</w:t>
            </w:r>
            <w:proofErr w:type="spellEnd"/>
            <w:r w:rsidRPr="00F5586B">
              <w:t xml:space="preserve"> – </w:t>
            </w:r>
            <w:proofErr w:type="spellStart"/>
            <w:r w:rsidRPr="00F5586B">
              <w:t>Innovative</w:t>
            </w:r>
            <w:proofErr w:type="spellEnd"/>
            <w:r w:rsidRPr="00F5586B">
              <w:t xml:space="preserve"> </w:t>
            </w:r>
            <w:proofErr w:type="spellStart"/>
            <w:r w:rsidRPr="00F5586B">
              <w:t>Konzepte</w:t>
            </w:r>
            <w:proofErr w:type="spellEnd"/>
            <w:r w:rsidRPr="00F5586B">
              <w:t xml:space="preserve"> </w:t>
            </w:r>
            <w:proofErr w:type="spellStart"/>
            <w:r w:rsidRPr="00F5586B">
              <w:t>für</w:t>
            </w:r>
            <w:proofErr w:type="spellEnd"/>
            <w:r w:rsidRPr="00F5586B">
              <w:t xml:space="preserve"> den </w:t>
            </w:r>
            <w:proofErr w:type="spellStart"/>
            <w:r w:rsidRPr="00F5586B">
              <w:t>Stadt</w:t>
            </w:r>
            <w:proofErr w:type="spellEnd"/>
            <w:r w:rsidRPr="00F5586B">
              <w:t xml:space="preserve"> und </w:t>
            </w:r>
            <w:proofErr w:type="spellStart"/>
            <w:r w:rsidRPr="00F5586B">
              <w:t>Regionalverkehr</w:t>
            </w:r>
            <w:proofErr w:type="spellEnd"/>
            <w:r w:rsidRPr="00F5586B">
              <w:t xml:space="preserve">. Springer </w:t>
            </w:r>
            <w:proofErr w:type="spellStart"/>
            <w:r w:rsidRPr="00F5586B">
              <w:t>Verlag</w:t>
            </w:r>
            <w:proofErr w:type="spellEnd"/>
            <w:r w:rsidRPr="00F5586B">
              <w:t>.</w:t>
            </w:r>
          </w:p>
          <w:p w:rsidR="00550F0E" w:rsidRPr="00F5586B" w:rsidRDefault="00550F0E" w:rsidP="00550F0E">
            <w:pPr>
              <w:numPr>
                <w:ilvl w:val="0"/>
                <w:numId w:val="4"/>
              </w:numPr>
              <w:rPr>
                <w:lang w:val="en-US"/>
              </w:rPr>
            </w:pPr>
            <w:proofErr w:type="spellStart"/>
            <w:r w:rsidRPr="00F5586B">
              <w:rPr>
                <w:lang w:val="en-US"/>
              </w:rPr>
              <w:t>Hensher</w:t>
            </w:r>
            <w:proofErr w:type="spellEnd"/>
            <w:r w:rsidRPr="00F5586B">
              <w:rPr>
                <w:lang w:val="en-US"/>
              </w:rPr>
              <w:t>. D.A. – Button K.J.: Handbook on Transport and Environment. Elsevier. 2003.</w:t>
            </w:r>
          </w:p>
          <w:p w:rsidR="00550F0E" w:rsidRPr="00F5586B" w:rsidRDefault="00550F0E" w:rsidP="00550F0E">
            <w:pPr>
              <w:numPr>
                <w:ilvl w:val="0"/>
                <w:numId w:val="4"/>
              </w:numPr>
            </w:pPr>
            <w:proofErr w:type="spellStart"/>
            <w:r w:rsidRPr="00F5586B">
              <w:rPr>
                <w:lang w:val="en-US"/>
              </w:rPr>
              <w:t>Feitelson</w:t>
            </w:r>
            <w:proofErr w:type="spellEnd"/>
            <w:r w:rsidRPr="00F5586B">
              <w:rPr>
                <w:lang w:val="en-US"/>
              </w:rPr>
              <w:t xml:space="preserve"> E. – </w:t>
            </w:r>
            <w:proofErr w:type="spellStart"/>
            <w:r w:rsidRPr="00F5586B">
              <w:rPr>
                <w:lang w:val="en-US"/>
              </w:rPr>
              <w:t>Verhoef</w:t>
            </w:r>
            <w:proofErr w:type="spellEnd"/>
            <w:r w:rsidRPr="00F5586B">
              <w:rPr>
                <w:lang w:val="en-US"/>
              </w:rPr>
              <w:t xml:space="preserve"> E.T.: Transport and Environment. In search of Sustainable Solutions. Edward Elgar. 2001</w:t>
            </w:r>
            <w:r w:rsidRPr="00F5586B">
              <w:t>.</w:t>
            </w:r>
          </w:p>
          <w:p w:rsidR="00550F0E" w:rsidRPr="00F5586B" w:rsidRDefault="00550F0E" w:rsidP="00550F0E">
            <w:pPr>
              <w:numPr>
                <w:ilvl w:val="0"/>
                <w:numId w:val="4"/>
              </w:numPr>
              <w:rPr>
                <w:lang w:val="en-GB"/>
              </w:rPr>
            </w:pPr>
            <w:r w:rsidRPr="00F5586B">
              <w:rPr>
                <w:lang w:val="en-GB"/>
              </w:rPr>
              <w:t xml:space="preserve">A European Federation for Transport and Environment: </w:t>
            </w:r>
            <w:hyperlink r:id="rId8" w:history="1">
              <w:r w:rsidRPr="00F5586B">
                <w:rPr>
                  <w:rStyle w:val="Hiperhivatkozs"/>
                  <w:lang w:val="en-GB"/>
                </w:rPr>
                <w:t>http://www.transportenvironment.org</w:t>
              </w:r>
            </w:hyperlink>
            <w:r w:rsidRPr="00F5586B">
              <w:rPr>
                <w:lang w:val="en-GB"/>
              </w:rPr>
              <w:t xml:space="preserve"> </w:t>
            </w:r>
          </w:p>
          <w:p w:rsidR="00550F0E" w:rsidRPr="00F5586B" w:rsidRDefault="00550F0E" w:rsidP="00550F0E">
            <w:pPr>
              <w:numPr>
                <w:ilvl w:val="0"/>
                <w:numId w:val="4"/>
              </w:numPr>
              <w:rPr>
                <w:lang w:val="en-GB"/>
              </w:rPr>
            </w:pPr>
            <w:r w:rsidRPr="00F5586B">
              <w:rPr>
                <w:lang w:val="en-GB"/>
              </w:rPr>
              <w:t xml:space="preserve">Mobility and Transport, EC: </w:t>
            </w:r>
            <w:hyperlink r:id="rId9" w:history="1">
              <w:r w:rsidRPr="00F5586B">
                <w:rPr>
                  <w:rStyle w:val="Hiperhivatkozs"/>
                  <w:lang w:val="en-GB"/>
                </w:rPr>
                <w:t>http://ec.europa.eu/transport/index_en</w:t>
              </w:r>
            </w:hyperlink>
          </w:p>
          <w:p w:rsidR="00550F0E" w:rsidRDefault="00550F0E" w:rsidP="00550F0E">
            <w:pPr>
              <w:numPr>
                <w:ilvl w:val="0"/>
                <w:numId w:val="4"/>
              </w:numPr>
            </w:pPr>
            <w:proofErr w:type="spellStart"/>
            <w:r>
              <w:t>Hensher</w:t>
            </w:r>
            <w:proofErr w:type="spellEnd"/>
            <w:r>
              <w:t xml:space="preserve">. D.A. – </w:t>
            </w:r>
            <w:proofErr w:type="spellStart"/>
            <w:r>
              <w:t>Button</w:t>
            </w:r>
            <w:proofErr w:type="spellEnd"/>
            <w:r>
              <w:t xml:space="preserve"> K</w:t>
            </w:r>
            <w:proofErr w:type="gramStart"/>
            <w:r>
              <w:t>.J</w:t>
            </w:r>
            <w:proofErr w:type="gramEnd"/>
            <w:r>
              <w:t xml:space="preserve">.: </w:t>
            </w:r>
            <w:proofErr w:type="spellStart"/>
            <w:r>
              <w:t>Hanbook</w:t>
            </w:r>
            <w:proofErr w:type="spellEnd"/>
            <w:r>
              <w:t xml:space="preserve"> </w:t>
            </w:r>
            <w:proofErr w:type="spellStart"/>
            <w:r>
              <w:t>on</w:t>
            </w:r>
            <w:proofErr w:type="spellEnd"/>
            <w:r>
              <w:t xml:space="preserve"> </w:t>
            </w:r>
            <w:proofErr w:type="spellStart"/>
            <w:r>
              <w:t>Transport</w:t>
            </w:r>
            <w:proofErr w:type="spellEnd"/>
            <w:r>
              <w:t xml:space="preserve"> and </w:t>
            </w:r>
            <w:proofErr w:type="spellStart"/>
            <w:r>
              <w:t>Environment</w:t>
            </w:r>
            <w:proofErr w:type="spellEnd"/>
            <w:r>
              <w:t xml:space="preserve">. </w:t>
            </w:r>
            <w:proofErr w:type="spellStart"/>
            <w:r>
              <w:t>Elsevier</w:t>
            </w:r>
            <w:proofErr w:type="spellEnd"/>
            <w:r>
              <w:t>. 2003.</w:t>
            </w:r>
          </w:p>
          <w:p w:rsidR="003E63E4" w:rsidRPr="00550F0E" w:rsidRDefault="00550F0E" w:rsidP="00550F0E">
            <w:pPr>
              <w:numPr>
                <w:ilvl w:val="0"/>
                <w:numId w:val="4"/>
              </w:numPr>
            </w:pPr>
            <w:proofErr w:type="spellStart"/>
            <w:r>
              <w:t>Feitelson</w:t>
            </w:r>
            <w:proofErr w:type="spellEnd"/>
            <w:r>
              <w:t xml:space="preserve"> E. – </w:t>
            </w:r>
            <w:proofErr w:type="spellStart"/>
            <w:r>
              <w:t>Verhoef</w:t>
            </w:r>
            <w:proofErr w:type="spellEnd"/>
            <w:r>
              <w:t xml:space="preserve"> E</w:t>
            </w:r>
            <w:proofErr w:type="gramStart"/>
            <w:r>
              <w:t>.T</w:t>
            </w:r>
            <w:proofErr w:type="gramEnd"/>
            <w:r>
              <w:t xml:space="preserve">.: </w:t>
            </w:r>
            <w:proofErr w:type="spellStart"/>
            <w:r>
              <w:t>Transport</w:t>
            </w:r>
            <w:proofErr w:type="spellEnd"/>
            <w:r>
              <w:t xml:space="preserve"> and </w:t>
            </w:r>
            <w:proofErr w:type="spellStart"/>
            <w:r>
              <w:t>Environment</w:t>
            </w:r>
            <w:proofErr w:type="spellEnd"/>
            <w:r>
              <w:t xml:space="preserve">. </w:t>
            </w:r>
            <w:proofErr w:type="spellStart"/>
            <w:r>
              <w:t>In</w:t>
            </w:r>
            <w:proofErr w:type="spellEnd"/>
            <w:r>
              <w:t xml:space="preserve"> </w:t>
            </w:r>
            <w:proofErr w:type="spellStart"/>
            <w:r>
              <w:t>search</w:t>
            </w:r>
            <w:proofErr w:type="spellEnd"/>
            <w:r>
              <w:t xml:space="preserve"> of </w:t>
            </w:r>
            <w:proofErr w:type="spellStart"/>
            <w:r>
              <w:t>Sustainable</w:t>
            </w:r>
            <w:proofErr w:type="spellEnd"/>
            <w:r>
              <w:t xml:space="preserve"> </w:t>
            </w:r>
            <w:proofErr w:type="spellStart"/>
            <w:r>
              <w:t>Solutions</w:t>
            </w:r>
            <w:proofErr w:type="spellEnd"/>
            <w:r>
              <w:t xml:space="preserve">. Edward </w:t>
            </w:r>
            <w:proofErr w:type="spellStart"/>
            <w:r>
              <w:t>Elgar</w:t>
            </w:r>
            <w:proofErr w:type="spellEnd"/>
            <w:r>
              <w:t>. 2001.</w:t>
            </w:r>
          </w:p>
        </w:tc>
      </w:tr>
    </w:tbl>
    <w:p w:rsidR="00130A5E" w:rsidRDefault="00130A5E" w:rsidP="007B0CE7"/>
    <w:sectPr w:rsidR="00130A5E" w:rsidSect="00037799">
      <w:headerReference w:type="default" r:id="rId10"/>
      <w:type w:val="continuous"/>
      <w:pgSz w:w="11906" w:h="16838" w:code="9"/>
      <w:pgMar w:top="1134" w:right="1134" w:bottom="14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98A" w:rsidRDefault="0066398A">
      <w:r>
        <w:separator/>
      </w:r>
    </w:p>
  </w:endnote>
  <w:endnote w:type="continuationSeparator" w:id="0">
    <w:p w:rsidR="0066398A" w:rsidRDefault="00663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98A" w:rsidRDefault="0066398A">
      <w:r>
        <w:separator/>
      </w:r>
    </w:p>
  </w:footnote>
  <w:footnote w:type="continuationSeparator" w:id="0">
    <w:p w:rsidR="0066398A" w:rsidRDefault="00663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E6F" w:rsidRPr="00A61667" w:rsidRDefault="00BD6E6F" w:rsidP="002703C8">
    <w:pPr>
      <w:pStyle w:val="lfej"/>
      <w:pBdr>
        <w:bottom w:val="single" w:sz="4" w:space="1" w:color="auto"/>
      </w:pBdr>
      <w:tabs>
        <w:tab w:val="clear" w:pos="4536"/>
        <w:tab w:val="clear" w:pos="9072"/>
        <w:tab w:val="right" w:pos="9639"/>
      </w:tabs>
      <w:rPr>
        <w:i/>
      </w:rPr>
    </w:pPr>
    <w:r>
      <w:rPr>
        <w:i/>
      </w:rPr>
      <w:t xml:space="preserve">MSc </w:t>
    </w:r>
    <w:r w:rsidR="003B0C12">
      <w:rPr>
        <w:i/>
      </w:rPr>
      <w:t>course</w:t>
    </w:r>
    <w:r>
      <w:rPr>
        <w:i/>
      </w:rPr>
      <w:tab/>
    </w:r>
    <w:r w:rsidR="003B0C12">
      <w:rPr>
        <w:i/>
      </w:rPr>
      <w:t>Subject description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E0D87"/>
    <w:multiLevelType w:val="hybridMultilevel"/>
    <w:tmpl w:val="6E52E240"/>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253C1943"/>
    <w:multiLevelType w:val="hybridMultilevel"/>
    <w:tmpl w:val="88CC9DDC"/>
    <w:lvl w:ilvl="0" w:tplc="040E000F">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54992AF5"/>
    <w:multiLevelType w:val="hybridMultilevel"/>
    <w:tmpl w:val="7EC4B282"/>
    <w:lvl w:ilvl="0" w:tplc="B4A477A8">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75465D33"/>
    <w:multiLevelType w:val="multilevel"/>
    <w:tmpl w:val="248095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3C"/>
    <w:rsid w:val="00000B53"/>
    <w:rsid w:val="00007D14"/>
    <w:rsid w:val="00016CD2"/>
    <w:rsid w:val="00037799"/>
    <w:rsid w:val="00045325"/>
    <w:rsid w:val="00084B35"/>
    <w:rsid w:val="000A798A"/>
    <w:rsid w:val="000B7650"/>
    <w:rsid w:val="000C133A"/>
    <w:rsid w:val="000E27A1"/>
    <w:rsid w:val="000E6AE7"/>
    <w:rsid w:val="000F50C0"/>
    <w:rsid w:val="00112F76"/>
    <w:rsid w:val="00130A5E"/>
    <w:rsid w:val="00136FA8"/>
    <w:rsid w:val="00140740"/>
    <w:rsid w:val="001668CA"/>
    <w:rsid w:val="00174160"/>
    <w:rsid w:val="00180861"/>
    <w:rsid w:val="001A19E0"/>
    <w:rsid w:val="001B708E"/>
    <w:rsid w:val="001C21AA"/>
    <w:rsid w:val="001F0598"/>
    <w:rsid w:val="002016BB"/>
    <w:rsid w:val="00202CC1"/>
    <w:rsid w:val="00202D83"/>
    <w:rsid w:val="00205F7A"/>
    <w:rsid w:val="002103F3"/>
    <w:rsid w:val="00235846"/>
    <w:rsid w:val="00236D79"/>
    <w:rsid w:val="002703C8"/>
    <w:rsid w:val="00290A93"/>
    <w:rsid w:val="002A758D"/>
    <w:rsid w:val="002B0ED3"/>
    <w:rsid w:val="002E08A0"/>
    <w:rsid w:val="002E37F0"/>
    <w:rsid w:val="002E419B"/>
    <w:rsid w:val="002F0D79"/>
    <w:rsid w:val="002F1031"/>
    <w:rsid w:val="003165D4"/>
    <w:rsid w:val="00316B7E"/>
    <w:rsid w:val="00323B73"/>
    <w:rsid w:val="00340AFD"/>
    <w:rsid w:val="00365184"/>
    <w:rsid w:val="00374108"/>
    <w:rsid w:val="00387C13"/>
    <w:rsid w:val="003908E5"/>
    <w:rsid w:val="003B0C12"/>
    <w:rsid w:val="003C0AD1"/>
    <w:rsid w:val="003C27EB"/>
    <w:rsid w:val="003C44B1"/>
    <w:rsid w:val="003D156B"/>
    <w:rsid w:val="003E63E4"/>
    <w:rsid w:val="003F11E9"/>
    <w:rsid w:val="003F768B"/>
    <w:rsid w:val="00403F7E"/>
    <w:rsid w:val="00405ACB"/>
    <w:rsid w:val="00426DF2"/>
    <w:rsid w:val="00456629"/>
    <w:rsid w:val="004642CE"/>
    <w:rsid w:val="00472153"/>
    <w:rsid w:val="00481510"/>
    <w:rsid w:val="0049562B"/>
    <w:rsid w:val="004A3652"/>
    <w:rsid w:val="004D29F5"/>
    <w:rsid w:val="00504F0D"/>
    <w:rsid w:val="00521C18"/>
    <w:rsid w:val="00522A18"/>
    <w:rsid w:val="005312E2"/>
    <w:rsid w:val="00550F0E"/>
    <w:rsid w:val="00553490"/>
    <w:rsid w:val="00557EB3"/>
    <w:rsid w:val="00561EA1"/>
    <w:rsid w:val="00566AC9"/>
    <w:rsid w:val="00572533"/>
    <w:rsid w:val="00576E17"/>
    <w:rsid w:val="005874F9"/>
    <w:rsid w:val="00591E2D"/>
    <w:rsid w:val="00593D5C"/>
    <w:rsid w:val="005A11D4"/>
    <w:rsid w:val="005B15F5"/>
    <w:rsid w:val="005B1DE9"/>
    <w:rsid w:val="005B6F07"/>
    <w:rsid w:val="005C298D"/>
    <w:rsid w:val="005C33D2"/>
    <w:rsid w:val="005C6F4B"/>
    <w:rsid w:val="005D08AF"/>
    <w:rsid w:val="00615196"/>
    <w:rsid w:val="006256B5"/>
    <w:rsid w:val="0066398A"/>
    <w:rsid w:val="006811CB"/>
    <w:rsid w:val="00681C17"/>
    <w:rsid w:val="006840B3"/>
    <w:rsid w:val="00696C1A"/>
    <w:rsid w:val="006A2429"/>
    <w:rsid w:val="006B7C02"/>
    <w:rsid w:val="006C2DC2"/>
    <w:rsid w:val="00707257"/>
    <w:rsid w:val="007252BF"/>
    <w:rsid w:val="0074364F"/>
    <w:rsid w:val="00755010"/>
    <w:rsid w:val="00764068"/>
    <w:rsid w:val="00784CAA"/>
    <w:rsid w:val="007B0B70"/>
    <w:rsid w:val="007B0CE7"/>
    <w:rsid w:val="007B5562"/>
    <w:rsid w:val="007B7A79"/>
    <w:rsid w:val="007C236F"/>
    <w:rsid w:val="007D0DF5"/>
    <w:rsid w:val="007F1E97"/>
    <w:rsid w:val="0080454C"/>
    <w:rsid w:val="00807C97"/>
    <w:rsid w:val="00822362"/>
    <w:rsid w:val="008230F8"/>
    <w:rsid w:val="00831F00"/>
    <w:rsid w:val="00834E19"/>
    <w:rsid w:val="0084301A"/>
    <w:rsid w:val="00871B42"/>
    <w:rsid w:val="00871DA3"/>
    <w:rsid w:val="00871FA2"/>
    <w:rsid w:val="0088613D"/>
    <w:rsid w:val="008C37A6"/>
    <w:rsid w:val="008C54AA"/>
    <w:rsid w:val="008C6C9E"/>
    <w:rsid w:val="008F2870"/>
    <w:rsid w:val="008F29D1"/>
    <w:rsid w:val="00904A75"/>
    <w:rsid w:val="009253E8"/>
    <w:rsid w:val="009265C9"/>
    <w:rsid w:val="00935DBC"/>
    <w:rsid w:val="00940B3F"/>
    <w:rsid w:val="00954BB8"/>
    <w:rsid w:val="00960191"/>
    <w:rsid w:val="00973764"/>
    <w:rsid w:val="00981BEE"/>
    <w:rsid w:val="00987FB2"/>
    <w:rsid w:val="00995805"/>
    <w:rsid w:val="009C662C"/>
    <w:rsid w:val="009D5B78"/>
    <w:rsid w:val="009E1405"/>
    <w:rsid w:val="009E6D21"/>
    <w:rsid w:val="009F4F35"/>
    <w:rsid w:val="00A011A8"/>
    <w:rsid w:val="00A357F8"/>
    <w:rsid w:val="00A45017"/>
    <w:rsid w:val="00A50CB4"/>
    <w:rsid w:val="00A524C7"/>
    <w:rsid w:val="00A54B83"/>
    <w:rsid w:val="00A5634A"/>
    <w:rsid w:val="00A61667"/>
    <w:rsid w:val="00A626C3"/>
    <w:rsid w:val="00A80C5B"/>
    <w:rsid w:val="00A906BD"/>
    <w:rsid w:val="00A9647D"/>
    <w:rsid w:val="00AC3641"/>
    <w:rsid w:val="00AC6C81"/>
    <w:rsid w:val="00AE2D43"/>
    <w:rsid w:val="00AF18EB"/>
    <w:rsid w:val="00B011B5"/>
    <w:rsid w:val="00B311E3"/>
    <w:rsid w:val="00B44621"/>
    <w:rsid w:val="00B4616D"/>
    <w:rsid w:val="00B525B7"/>
    <w:rsid w:val="00B61659"/>
    <w:rsid w:val="00B72867"/>
    <w:rsid w:val="00B95958"/>
    <w:rsid w:val="00BA3CE4"/>
    <w:rsid w:val="00BD6E6F"/>
    <w:rsid w:val="00BE0A34"/>
    <w:rsid w:val="00BF3E50"/>
    <w:rsid w:val="00C03818"/>
    <w:rsid w:val="00C14611"/>
    <w:rsid w:val="00C36CEC"/>
    <w:rsid w:val="00C37DA4"/>
    <w:rsid w:val="00C533F7"/>
    <w:rsid w:val="00C671F4"/>
    <w:rsid w:val="00C76E5C"/>
    <w:rsid w:val="00CA1DFA"/>
    <w:rsid w:val="00CB506E"/>
    <w:rsid w:val="00CB6720"/>
    <w:rsid w:val="00CC3D4A"/>
    <w:rsid w:val="00CC5137"/>
    <w:rsid w:val="00D11938"/>
    <w:rsid w:val="00D20FF6"/>
    <w:rsid w:val="00D43F42"/>
    <w:rsid w:val="00D51D13"/>
    <w:rsid w:val="00D55550"/>
    <w:rsid w:val="00D56671"/>
    <w:rsid w:val="00D6474E"/>
    <w:rsid w:val="00D8481E"/>
    <w:rsid w:val="00D936E0"/>
    <w:rsid w:val="00DC234A"/>
    <w:rsid w:val="00DE282B"/>
    <w:rsid w:val="00E0063C"/>
    <w:rsid w:val="00E05B76"/>
    <w:rsid w:val="00E0625F"/>
    <w:rsid w:val="00E07BDA"/>
    <w:rsid w:val="00E27118"/>
    <w:rsid w:val="00E30C65"/>
    <w:rsid w:val="00E455E1"/>
    <w:rsid w:val="00E56257"/>
    <w:rsid w:val="00ED1E4A"/>
    <w:rsid w:val="00EE3289"/>
    <w:rsid w:val="00EF0D56"/>
    <w:rsid w:val="00EF580B"/>
    <w:rsid w:val="00F10E4D"/>
    <w:rsid w:val="00F21E83"/>
    <w:rsid w:val="00F22C58"/>
    <w:rsid w:val="00F3266C"/>
    <w:rsid w:val="00F35C22"/>
    <w:rsid w:val="00F70DBC"/>
    <w:rsid w:val="00F74B9D"/>
    <w:rsid w:val="00FB28C3"/>
    <w:rsid w:val="00FB39D8"/>
    <w:rsid w:val="00FC460A"/>
    <w:rsid w:val="00FD6EB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4E3392-8CED-408A-8CEB-CE81093C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E00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rsid w:val="00A61667"/>
    <w:pPr>
      <w:tabs>
        <w:tab w:val="center" w:pos="4536"/>
        <w:tab w:val="right" w:pos="9072"/>
      </w:tabs>
    </w:pPr>
  </w:style>
  <w:style w:type="paragraph" w:styleId="llb">
    <w:name w:val="footer"/>
    <w:basedOn w:val="Norml"/>
    <w:rsid w:val="00A61667"/>
    <w:pPr>
      <w:tabs>
        <w:tab w:val="center" w:pos="4536"/>
        <w:tab w:val="right" w:pos="9072"/>
      </w:tabs>
    </w:pPr>
  </w:style>
  <w:style w:type="character" w:styleId="Hiperhivatkozs">
    <w:name w:val="Hyperlink"/>
    <w:basedOn w:val="Bekezdsalapbettpusa"/>
    <w:rsid w:val="00C37D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29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portenvironmen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transport/index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EE47C-A07A-4E37-A171-F00EA0FE1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2494</Characters>
  <Application>Microsoft Office Word</Application>
  <DocSecurity>0</DocSecurity>
  <Lines>20</Lines>
  <Paragraphs>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Tantárgy címe:</vt:lpstr>
      <vt:lpstr>Tantárgy címe:</vt:lpstr>
    </vt:vector>
  </TitlesOfParts>
  <Company>BME Vasúti Járművek Tanszék</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Tantárgy címe:</dc:title>
  <dc:subject/>
  <dc:creator>Szabó András</dc:creator>
  <cp:keywords/>
  <cp:lastModifiedBy>Mészáros Péter</cp:lastModifiedBy>
  <cp:revision>3</cp:revision>
  <cp:lastPrinted>2015-01-23T12:09:00Z</cp:lastPrinted>
  <dcterms:created xsi:type="dcterms:W3CDTF">2019-07-24T08:33:00Z</dcterms:created>
  <dcterms:modified xsi:type="dcterms:W3CDTF">2019-07-24T08:36:00Z</dcterms:modified>
</cp:coreProperties>
</file>