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087"/>
        <w:gridCol w:w="6"/>
        <w:gridCol w:w="2093"/>
        <w:gridCol w:w="1586"/>
        <w:gridCol w:w="1626"/>
      </w:tblGrid>
      <w:tr w:rsidR="00534A3D" w:rsidRPr="00354712" w:rsidTr="00354712">
        <w:trPr>
          <w:jc w:val="center"/>
        </w:trPr>
        <w:tc>
          <w:tcPr>
            <w:tcW w:w="949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4A3D" w:rsidRPr="00354712" w:rsidRDefault="00534A3D" w:rsidP="00354712">
            <w:pPr>
              <w:pageBreakBefore/>
              <w:spacing w:before="60" w:after="60"/>
              <w:ind w:left="1378" w:hanging="1378"/>
              <w:rPr>
                <w:sz w:val="32"/>
                <w:szCs w:val="32"/>
              </w:rPr>
            </w:pPr>
            <w:r w:rsidRPr="00354712">
              <w:rPr>
                <w:i/>
                <w:sz w:val="20"/>
                <w:szCs w:val="20"/>
              </w:rPr>
              <w:t>Tantárgy címe</w:t>
            </w:r>
            <w:r w:rsidRPr="00A9647D">
              <w:t>:</w:t>
            </w:r>
            <w:r w:rsidRPr="00354712">
              <w:rPr>
                <w:b/>
                <w:sz w:val="32"/>
                <w:szCs w:val="32"/>
              </w:rPr>
              <w:tab/>
            </w:r>
            <w:r w:rsidRPr="00354712">
              <w:rPr>
                <w:b/>
                <w:noProof/>
                <w:sz w:val="32"/>
                <w:szCs w:val="32"/>
              </w:rPr>
              <w:t>Közlekedés környezeti hatásai</w:t>
            </w:r>
          </w:p>
        </w:tc>
      </w:tr>
      <w:tr w:rsidR="00534A3D" w:rsidRPr="00354712" w:rsidTr="00354712">
        <w:trPr>
          <w:jc w:val="center"/>
        </w:trPr>
        <w:tc>
          <w:tcPr>
            <w:tcW w:w="949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4A3D" w:rsidRPr="00354712" w:rsidRDefault="00534A3D" w:rsidP="00354712">
            <w:pPr>
              <w:spacing w:before="60" w:after="60"/>
              <w:rPr>
                <w:sz w:val="32"/>
                <w:szCs w:val="32"/>
              </w:rPr>
            </w:pPr>
            <w:r w:rsidRPr="00354712">
              <w:rPr>
                <w:i/>
                <w:sz w:val="20"/>
                <w:szCs w:val="20"/>
              </w:rPr>
              <w:t>Angol címe</w:t>
            </w:r>
            <w:r w:rsidRPr="00A9647D">
              <w:t>:</w:t>
            </w:r>
            <w:r w:rsidRPr="00354712">
              <w:rPr>
                <w:b/>
                <w:sz w:val="32"/>
                <w:szCs w:val="32"/>
              </w:rPr>
              <w:t xml:space="preserve"> </w:t>
            </w:r>
            <w:r w:rsidRPr="00354712">
              <w:rPr>
                <w:b/>
                <w:sz w:val="28"/>
                <w:szCs w:val="28"/>
                <w:lang w:val="en-GB"/>
              </w:rPr>
              <w:t>Environmental effects of transport</w:t>
            </w:r>
          </w:p>
        </w:tc>
      </w:tr>
      <w:tr w:rsidR="00534A3D" w:rsidTr="00354712">
        <w:trPr>
          <w:jc w:val="center"/>
        </w:trPr>
        <w:tc>
          <w:tcPr>
            <w:tcW w:w="4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A3D" w:rsidRPr="00354712" w:rsidRDefault="00534A3D" w:rsidP="00354712">
            <w:pPr>
              <w:spacing w:before="60" w:after="60"/>
              <w:rPr>
                <w:b/>
              </w:rPr>
            </w:pPr>
            <w:r w:rsidRPr="00354712">
              <w:rPr>
                <w:i/>
                <w:sz w:val="20"/>
                <w:szCs w:val="20"/>
              </w:rPr>
              <w:t>Rövid cím</w:t>
            </w:r>
            <w:r>
              <w:t xml:space="preserve">: </w:t>
            </w:r>
            <w:r w:rsidRPr="00354712">
              <w:rPr>
                <w:b/>
              </w:rPr>
              <w:t>Közl. – környezet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3D" w:rsidRDefault="00534A3D" w:rsidP="00EA032E">
            <w:pPr>
              <w:spacing w:before="60" w:after="60"/>
            </w:pPr>
            <w:r w:rsidRPr="00354712">
              <w:rPr>
                <w:i/>
                <w:sz w:val="20"/>
                <w:szCs w:val="20"/>
              </w:rPr>
              <w:t>Számonkérés</w:t>
            </w:r>
            <w:r w:rsidRPr="00000B53">
              <w:t xml:space="preserve">: </w:t>
            </w:r>
            <w:r w:rsidR="00EA032E">
              <w:rPr>
                <w:b/>
                <w:noProof/>
              </w:rPr>
              <w:t>Félévközi jegy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A3D" w:rsidRPr="00354712" w:rsidRDefault="00534A3D" w:rsidP="00EA032E">
            <w:pPr>
              <w:spacing w:before="60" w:after="60"/>
              <w:rPr>
                <w:sz w:val="20"/>
                <w:szCs w:val="20"/>
              </w:rPr>
            </w:pPr>
            <w:r w:rsidRPr="00354712">
              <w:rPr>
                <w:i/>
                <w:sz w:val="20"/>
                <w:szCs w:val="20"/>
              </w:rPr>
              <w:t>Kreditpont</w:t>
            </w:r>
            <w:r w:rsidRPr="00354712">
              <w:rPr>
                <w:sz w:val="20"/>
                <w:szCs w:val="20"/>
              </w:rPr>
              <w:t xml:space="preserve">: </w:t>
            </w:r>
            <w:r w:rsidR="00EA032E">
              <w:rPr>
                <w:sz w:val="20"/>
                <w:szCs w:val="20"/>
              </w:rPr>
              <w:t>4</w:t>
            </w:r>
          </w:p>
        </w:tc>
      </w:tr>
      <w:tr w:rsidR="00534A3D" w:rsidTr="00354712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4A3D" w:rsidRPr="00354712" w:rsidRDefault="00534A3D" w:rsidP="00EA032E">
            <w:pPr>
              <w:spacing w:before="60" w:after="60"/>
              <w:rPr>
                <w:i/>
                <w:sz w:val="20"/>
                <w:szCs w:val="20"/>
              </w:rPr>
            </w:pPr>
            <w:r w:rsidRPr="00354712">
              <w:rPr>
                <w:i/>
                <w:sz w:val="20"/>
                <w:szCs w:val="20"/>
              </w:rPr>
              <w:t>Előadás óra/hét</w:t>
            </w:r>
            <w:r w:rsidRPr="00A9647D">
              <w:t>:</w:t>
            </w:r>
            <w:r w:rsidRPr="00354712">
              <w:rPr>
                <w:sz w:val="18"/>
                <w:szCs w:val="18"/>
              </w:rPr>
              <w:t xml:space="preserve"> </w:t>
            </w:r>
            <w:r w:rsidR="00EA032E" w:rsidRPr="007D20C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3D" w:rsidRPr="00354712" w:rsidRDefault="00534A3D" w:rsidP="00354712">
            <w:pPr>
              <w:spacing w:before="60" w:after="60"/>
              <w:rPr>
                <w:i/>
                <w:sz w:val="20"/>
                <w:szCs w:val="20"/>
              </w:rPr>
            </w:pPr>
            <w:r w:rsidRPr="00354712">
              <w:rPr>
                <w:i/>
                <w:sz w:val="20"/>
                <w:szCs w:val="20"/>
              </w:rPr>
              <w:t>Gyakorlat óra/hét</w:t>
            </w:r>
            <w:r w:rsidRPr="00A9647D">
              <w:t>:</w:t>
            </w:r>
            <w:r w:rsidRPr="003547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3D" w:rsidRPr="00354712" w:rsidRDefault="00534A3D" w:rsidP="00354712">
            <w:pPr>
              <w:spacing w:before="60" w:after="60"/>
              <w:rPr>
                <w:i/>
                <w:sz w:val="20"/>
                <w:szCs w:val="20"/>
              </w:rPr>
            </w:pPr>
            <w:r w:rsidRPr="00354712">
              <w:rPr>
                <w:i/>
                <w:sz w:val="20"/>
                <w:szCs w:val="20"/>
              </w:rPr>
              <w:t>Labor óra/hét</w:t>
            </w:r>
            <w:r w:rsidRPr="00A9647D">
              <w:t>:</w:t>
            </w:r>
            <w:r w:rsidRPr="00354712">
              <w:rPr>
                <w:sz w:val="18"/>
                <w:szCs w:val="18"/>
              </w:rPr>
              <w:t xml:space="preserve"> </w:t>
            </w:r>
            <w:r w:rsidR="00EA032E" w:rsidRPr="007D20C6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4A3D" w:rsidRDefault="00534A3D" w:rsidP="00EA032E">
            <w:pPr>
              <w:spacing w:before="60" w:after="60"/>
            </w:pPr>
            <w:r w:rsidRPr="00354712">
              <w:rPr>
                <w:i/>
                <w:sz w:val="20"/>
                <w:szCs w:val="20"/>
              </w:rPr>
              <w:t>Kód</w:t>
            </w:r>
            <w:r>
              <w:t xml:space="preserve">: </w:t>
            </w:r>
            <w:r w:rsidRPr="00354712">
              <w:rPr>
                <w:b/>
                <w:noProof/>
                <w:sz w:val="32"/>
                <w:szCs w:val="32"/>
              </w:rPr>
              <w:t>KOK</w:t>
            </w:r>
            <w:r w:rsidR="00EA032E">
              <w:rPr>
                <w:b/>
                <w:noProof/>
                <w:sz w:val="32"/>
                <w:szCs w:val="32"/>
              </w:rPr>
              <w:t>K</w:t>
            </w:r>
            <w:r w:rsidRPr="00354712">
              <w:rPr>
                <w:b/>
                <w:noProof/>
                <w:sz w:val="32"/>
                <w:szCs w:val="32"/>
              </w:rPr>
              <w:t>M</w:t>
            </w:r>
            <w:r w:rsidR="00EA032E">
              <w:rPr>
                <w:b/>
                <w:noProof/>
                <w:sz w:val="32"/>
                <w:szCs w:val="32"/>
              </w:rPr>
              <w:t>230</w:t>
            </w:r>
          </w:p>
        </w:tc>
      </w:tr>
      <w:tr w:rsidR="00534A3D" w:rsidTr="00354712">
        <w:trPr>
          <w:jc w:val="center"/>
        </w:trPr>
        <w:tc>
          <w:tcPr>
            <w:tcW w:w="949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34A3D" w:rsidRDefault="00534A3D" w:rsidP="00354712">
            <w:pPr>
              <w:spacing w:before="60" w:after="60"/>
              <w:ind w:left="2229" w:hanging="2229"/>
            </w:pPr>
            <w:r w:rsidRPr="00354712">
              <w:rPr>
                <w:i/>
                <w:sz w:val="20"/>
                <w:szCs w:val="20"/>
              </w:rPr>
              <w:t>Felelős tanszék</w:t>
            </w:r>
            <w:r>
              <w:t xml:space="preserve">: </w:t>
            </w:r>
            <w:r w:rsidRPr="00354712">
              <w:rPr>
                <w:b/>
                <w:noProof/>
                <w:sz w:val="28"/>
                <w:szCs w:val="28"/>
              </w:rPr>
              <w:t>Közlekedésüzemi</w:t>
            </w:r>
            <w:r w:rsidRPr="00354712">
              <w:rPr>
                <w:b/>
                <w:sz w:val="28"/>
                <w:szCs w:val="28"/>
              </w:rPr>
              <w:t xml:space="preserve"> </w:t>
            </w:r>
            <w:r w:rsidR="00EA032E">
              <w:rPr>
                <w:b/>
                <w:sz w:val="28"/>
                <w:szCs w:val="28"/>
              </w:rPr>
              <w:t xml:space="preserve">és Gazdasági </w:t>
            </w:r>
            <w:r w:rsidRPr="00354712">
              <w:rPr>
                <w:b/>
                <w:noProof/>
                <w:sz w:val="28"/>
                <w:szCs w:val="28"/>
              </w:rPr>
              <w:t>Tanszék</w:t>
            </w:r>
            <w:r>
              <w:rPr>
                <w:noProof/>
              </w:rPr>
              <w:t xml:space="preserve"> </w:t>
            </w:r>
            <w:bookmarkStart w:id="0" w:name="_GoBack"/>
            <w:bookmarkEnd w:id="0"/>
          </w:p>
        </w:tc>
      </w:tr>
      <w:tr w:rsidR="00534A3D" w:rsidTr="00354712">
        <w:trPr>
          <w:jc w:val="center"/>
        </w:trPr>
        <w:tc>
          <w:tcPr>
            <w:tcW w:w="949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34A3D" w:rsidRDefault="00534A3D" w:rsidP="00354712">
            <w:pPr>
              <w:spacing w:before="60" w:after="60"/>
            </w:pPr>
            <w:r w:rsidRPr="00354712">
              <w:rPr>
                <w:i/>
                <w:sz w:val="20"/>
                <w:szCs w:val="20"/>
              </w:rPr>
              <w:t>Tantárgyfelelős oktató</w:t>
            </w:r>
            <w:r>
              <w:t xml:space="preserve">: </w:t>
            </w:r>
            <w:r w:rsidRPr="00354712">
              <w:rPr>
                <w:b/>
                <w:sz w:val="28"/>
                <w:szCs w:val="28"/>
              </w:rPr>
              <w:t>Dr. Mészáros Péter egyetemi adjunktus</w:t>
            </w:r>
          </w:p>
        </w:tc>
      </w:tr>
      <w:tr w:rsidR="00534A3D" w:rsidTr="00354712">
        <w:trPr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34A3D" w:rsidRDefault="00534A3D" w:rsidP="00354712">
            <w:pPr>
              <w:spacing w:before="60"/>
            </w:pPr>
            <w:r w:rsidRPr="00354712">
              <w:rPr>
                <w:i/>
                <w:sz w:val="20"/>
                <w:szCs w:val="20"/>
              </w:rPr>
              <w:t>Kötelező előkövetelmény</w:t>
            </w:r>
            <w:r>
              <w:t>: -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4A3D" w:rsidRDefault="00534A3D" w:rsidP="00354712">
            <w:pPr>
              <w:spacing w:before="60"/>
            </w:pPr>
            <w:r w:rsidRPr="00354712">
              <w:rPr>
                <w:i/>
                <w:sz w:val="20"/>
                <w:szCs w:val="20"/>
              </w:rPr>
              <w:t>Ajánlott előkövetelmény</w:t>
            </w:r>
            <w:r>
              <w:t>: -</w:t>
            </w:r>
          </w:p>
        </w:tc>
      </w:tr>
      <w:tr w:rsidR="00534A3D" w:rsidTr="00354712">
        <w:trPr>
          <w:trHeight w:val="949"/>
          <w:jc w:val="center"/>
        </w:trPr>
        <w:tc>
          <w:tcPr>
            <w:tcW w:w="9491" w:type="dxa"/>
            <w:gridSpan w:val="6"/>
            <w:tcBorders>
              <w:top w:val="single" w:sz="18" w:space="0" w:color="auto"/>
            </w:tcBorders>
          </w:tcPr>
          <w:p w:rsidR="00534A3D" w:rsidRDefault="00534A3D" w:rsidP="00354712">
            <w:pPr>
              <w:spacing w:before="60"/>
              <w:jc w:val="both"/>
            </w:pPr>
            <w:r w:rsidRPr="00354712">
              <w:rPr>
                <w:i/>
                <w:sz w:val="20"/>
                <w:szCs w:val="20"/>
              </w:rPr>
              <w:t>A tantárgy feladata</w:t>
            </w:r>
            <w:r>
              <w:t>:</w:t>
            </w:r>
            <w:r w:rsidRPr="005874F9">
              <w:t xml:space="preserve"> </w:t>
            </w:r>
          </w:p>
          <w:p w:rsidR="00534A3D" w:rsidRPr="00354712" w:rsidRDefault="00AD0BE4" w:rsidP="00354712">
            <w:pPr>
              <w:spacing w:before="60"/>
              <w:jc w:val="both"/>
              <w:rPr>
                <w:lang w:val="en-GB"/>
              </w:rPr>
            </w:pPr>
            <w:r w:rsidRPr="00354712">
              <w:rPr>
                <w:lang w:val="en-GB"/>
              </w:rPr>
              <w:t>Survey of development and operation opportunities of transport systems, due to sustainability concepts</w:t>
            </w:r>
            <w:r w:rsidR="00534A3D" w:rsidRPr="00354712">
              <w:rPr>
                <w:lang w:val="en-GB"/>
              </w:rPr>
              <w:t>.</w:t>
            </w:r>
          </w:p>
        </w:tc>
      </w:tr>
      <w:tr w:rsidR="00534A3D" w:rsidTr="00354712">
        <w:trPr>
          <w:trHeight w:val="2268"/>
          <w:jc w:val="center"/>
        </w:trPr>
        <w:tc>
          <w:tcPr>
            <w:tcW w:w="9491" w:type="dxa"/>
            <w:gridSpan w:val="6"/>
          </w:tcPr>
          <w:p w:rsidR="00534A3D" w:rsidRDefault="00534A3D" w:rsidP="00354712">
            <w:pPr>
              <w:spacing w:before="60"/>
              <w:jc w:val="both"/>
            </w:pPr>
            <w:r w:rsidRPr="00354712">
              <w:rPr>
                <w:i/>
                <w:sz w:val="20"/>
                <w:szCs w:val="20"/>
              </w:rPr>
              <w:t>A tantárgy leírása</w:t>
            </w:r>
            <w:r>
              <w:t xml:space="preserve">: </w:t>
            </w:r>
          </w:p>
          <w:p w:rsidR="00534A3D" w:rsidRPr="00354712" w:rsidRDefault="00534A3D" w:rsidP="00354712">
            <w:pPr>
              <w:jc w:val="both"/>
              <w:rPr>
                <w:spacing w:val="-4"/>
              </w:rPr>
            </w:pPr>
            <w:r w:rsidRPr="00354712">
              <w:rPr>
                <w:spacing w:val="-4"/>
              </w:rPr>
              <w:t>Közlekedés - környezet, hatótényezők, hatásfolyamatok. A fenntarthatóság problémája. A közlek</w:t>
            </w:r>
            <w:r w:rsidRPr="00354712">
              <w:rPr>
                <w:spacing w:val="-4"/>
              </w:rPr>
              <w:t>e</w:t>
            </w:r>
            <w:r w:rsidRPr="00354712">
              <w:rPr>
                <w:spacing w:val="-4"/>
              </w:rPr>
              <w:t>dés környezeti hatásai mérséklése, szabályozások, politikák, tendenciák, gyakorlatok. Hazai és ne</w:t>
            </w:r>
            <w:r w:rsidRPr="00354712">
              <w:rPr>
                <w:spacing w:val="-4"/>
              </w:rPr>
              <w:t>m</w:t>
            </w:r>
            <w:r w:rsidRPr="00354712">
              <w:rPr>
                <w:spacing w:val="-4"/>
              </w:rPr>
              <w:t>zetközi példák, esettanulmányok. KHV - döntéselőkészítés, döntéshozatal a közlekedési infrastru</w:t>
            </w:r>
            <w:r w:rsidRPr="00354712">
              <w:rPr>
                <w:spacing w:val="-4"/>
              </w:rPr>
              <w:t>k</w:t>
            </w:r>
            <w:r w:rsidRPr="00354712">
              <w:rPr>
                <w:spacing w:val="-4"/>
              </w:rPr>
              <w:t>túra fejlesztés területén, a közlekedés és területtervezés integrációja, terület-használati tervezés. Az áruszállítás környezeti konfliktusai, szállításigényesség, a mérséklés lehetőségei. Intermodalitás és tranzit politikák. A közlekedés költségei megfizettetése, externáliák, haszon - költség, üzemanya</w:t>
            </w:r>
            <w:r w:rsidRPr="00354712">
              <w:rPr>
                <w:spacing w:val="-4"/>
              </w:rPr>
              <w:t>g</w:t>
            </w:r>
            <w:r w:rsidRPr="00354712">
              <w:rPr>
                <w:spacing w:val="-4"/>
              </w:rPr>
              <w:t xml:space="preserve">adók, díjak, árak. A városi közlekedés - fenntartható városi környezetgazdálkodás lehetőségei, a környezetkímélő mobilitási formák integrációja. </w:t>
            </w:r>
            <w:r w:rsidR="00AA061F" w:rsidRPr="00354712">
              <w:rPr>
                <w:spacing w:val="-4"/>
              </w:rPr>
              <w:t>A közlekedési zaj, és kezelése, politikák, stratég</w:t>
            </w:r>
            <w:r w:rsidR="00AA061F" w:rsidRPr="00354712">
              <w:rPr>
                <w:spacing w:val="-4"/>
              </w:rPr>
              <w:t>i</w:t>
            </w:r>
            <w:r w:rsidR="00AA061F" w:rsidRPr="00354712">
              <w:rPr>
                <w:spacing w:val="-4"/>
              </w:rPr>
              <w:t xml:space="preserve">ák. </w:t>
            </w:r>
            <w:r w:rsidRPr="00354712">
              <w:rPr>
                <w:spacing w:val="-4"/>
              </w:rPr>
              <w:t>A gyalogos, és kerékpáros közlekedés szerepe a munkamegosztásban és az integrációban. Igénykezelés, parkolási és használati díjak, egyéb restrikciók. Az üzemanyag-hatékonysággal ka</w:t>
            </w:r>
            <w:r w:rsidRPr="00354712">
              <w:rPr>
                <w:spacing w:val="-4"/>
              </w:rPr>
              <w:t>p</w:t>
            </w:r>
            <w:r w:rsidRPr="00354712">
              <w:rPr>
                <w:spacing w:val="-4"/>
              </w:rPr>
              <w:t>csolatos követelmények, lehetőségek, alternatív üzemanyagok, energiahatékony és környezet</w:t>
            </w:r>
            <w:r w:rsidR="00AA061F" w:rsidRPr="00354712">
              <w:rPr>
                <w:spacing w:val="-4"/>
              </w:rPr>
              <w:t>kímélő járművek, hajtási módok. Térségi közlekedési ren</w:t>
            </w:r>
            <w:r w:rsidR="00AA061F" w:rsidRPr="00354712">
              <w:rPr>
                <w:spacing w:val="-4"/>
              </w:rPr>
              <w:t>d</w:t>
            </w:r>
            <w:r w:rsidR="00AA061F" w:rsidRPr="00354712">
              <w:rPr>
                <w:spacing w:val="-4"/>
              </w:rPr>
              <w:t>szerek, integráció.</w:t>
            </w:r>
          </w:p>
        </w:tc>
      </w:tr>
      <w:tr w:rsidR="00534A3D" w:rsidTr="00354712">
        <w:trPr>
          <w:trHeight w:val="964"/>
          <w:jc w:val="center"/>
        </w:trPr>
        <w:tc>
          <w:tcPr>
            <w:tcW w:w="9491" w:type="dxa"/>
            <w:gridSpan w:val="6"/>
          </w:tcPr>
          <w:p w:rsidR="00534A3D" w:rsidRDefault="00534A3D" w:rsidP="00354712">
            <w:pPr>
              <w:spacing w:before="60"/>
              <w:jc w:val="both"/>
            </w:pPr>
            <w:r w:rsidRPr="00354712">
              <w:rPr>
                <w:i/>
                <w:sz w:val="20"/>
                <w:szCs w:val="20"/>
              </w:rPr>
              <w:t>Egyéni hallgatói feladatok</w:t>
            </w:r>
            <w:r>
              <w:t xml:space="preserve">: </w:t>
            </w:r>
          </w:p>
          <w:p w:rsidR="00534A3D" w:rsidRDefault="00534A3D" w:rsidP="00354712">
            <w:pPr>
              <w:spacing w:before="60"/>
              <w:jc w:val="both"/>
            </w:pPr>
            <w:r>
              <w:t>Egyéni esettanulmány ill. kis-projekt feladat kidolgozása ajánlott, ill. választott témákból a kö</w:t>
            </w:r>
            <w:r>
              <w:t>z</w:t>
            </w:r>
            <w:r>
              <w:t>lekedés környezeti hatásai kezelése területén.</w:t>
            </w:r>
          </w:p>
        </w:tc>
      </w:tr>
      <w:tr w:rsidR="00534A3D" w:rsidTr="00354712">
        <w:trPr>
          <w:trHeight w:val="952"/>
          <w:jc w:val="center"/>
        </w:trPr>
        <w:tc>
          <w:tcPr>
            <w:tcW w:w="9491" w:type="dxa"/>
            <w:gridSpan w:val="6"/>
          </w:tcPr>
          <w:p w:rsidR="00534A3D" w:rsidRPr="00354712" w:rsidRDefault="00534A3D" w:rsidP="00354712">
            <w:pPr>
              <w:spacing w:before="60"/>
              <w:jc w:val="both"/>
              <w:rPr>
                <w:sz w:val="20"/>
                <w:szCs w:val="20"/>
              </w:rPr>
            </w:pPr>
            <w:r w:rsidRPr="00354712">
              <w:rPr>
                <w:i/>
                <w:sz w:val="20"/>
                <w:szCs w:val="20"/>
              </w:rPr>
              <w:t>Az osztályzat kialakítás módja, vizsgakövetelmények</w:t>
            </w:r>
            <w:r w:rsidRPr="00354712">
              <w:rPr>
                <w:sz w:val="20"/>
                <w:szCs w:val="20"/>
              </w:rPr>
              <w:t xml:space="preserve">: </w:t>
            </w:r>
          </w:p>
          <w:p w:rsidR="00534A3D" w:rsidRPr="003C737E" w:rsidRDefault="00534A3D" w:rsidP="00354712">
            <w:pPr>
              <w:spacing w:before="60"/>
              <w:jc w:val="both"/>
            </w:pPr>
            <w:r w:rsidRPr="003C737E">
              <w:t>A félév</w:t>
            </w:r>
            <w:r>
              <w:t>es dolgozat beadása, elfogadása, annak előadása, továbbá egy zárthelyi dolgozat ere</w:t>
            </w:r>
            <w:r>
              <w:t>d</w:t>
            </w:r>
            <w:r>
              <w:t>ményes megírása.</w:t>
            </w:r>
          </w:p>
        </w:tc>
      </w:tr>
      <w:tr w:rsidR="00534A3D" w:rsidTr="00354712">
        <w:trPr>
          <w:trHeight w:val="1134"/>
          <w:jc w:val="center"/>
        </w:trPr>
        <w:tc>
          <w:tcPr>
            <w:tcW w:w="9491" w:type="dxa"/>
            <w:gridSpan w:val="6"/>
          </w:tcPr>
          <w:p w:rsidR="00534A3D" w:rsidRDefault="00534A3D" w:rsidP="00354712">
            <w:pPr>
              <w:spacing w:before="60" w:after="60"/>
            </w:pPr>
            <w:r w:rsidRPr="00354712">
              <w:rPr>
                <w:i/>
                <w:sz w:val="20"/>
                <w:szCs w:val="20"/>
              </w:rPr>
              <w:t>Irodalom</w:t>
            </w:r>
            <w:r>
              <w:t xml:space="preserve">, </w:t>
            </w:r>
            <w:r w:rsidRPr="00354712">
              <w:rPr>
                <w:i/>
                <w:sz w:val="20"/>
                <w:szCs w:val="20"/>
              </w:rPr>
              <w:t>segédlet</w:t>
            </w:r>
            <w:r>
              <w:t>:</w:t>
            </w:r>
          </w:p>
          <w:p w:rsidR="00534A3D" w:rsidRPr="002A545F" w:rsidRDefault="00534A3D" w:rsidP="00EA032E">
            <w:pPr>
              <w:numPr>
                <w:ilvl w:val="0"/>
                <w:numId w:val="5"/>
              </w:numPr>
            </w:pPr>
            <w:r>
              <w:t>Egyes előadási an</w:t>
            </w:r>
            <w:r w:rsidR="00EA032E">
              <w:t>yagok a tanszéki honlapon elérhetően</w:t>
            </w:r>
          </w:p>
          <w:p w:rsidR="00EA032E" w:rsidRPr="00F5586B" w:rsidRDefault="00EA032E" w:rsidP="00EA032E">
            <w:pPr>
              <w:numPr>
                <w:ilvl w:val="0"/>
                <w:numId w:val="5"/>
              </w:numPr>
            </w:pPr>
            <w:r w:rsidRPr="00F5586B">
              <w:t>Fi István: Utak és környezetük tervezése Műegyetemi kiadó 2000</w:t>
            </w:r>
          </w:p>
          <w:p w:rsidR="00EA032E" w:rsidRPr="00F5586B" w:rsidRDefault="00EA032E" w:rsidP="00EA032E">
            <w:pPr>
              <w:numPr>
                <w:ilvl w:val="0"/>
                <w:numId w:val="5"/>
              </w:numPr>
            </w:pPr>
            <w:r w:rsidRPr="00F5586B">
              <w:t>Knoflacher H.: Zur Harmonie von Stadt und Verkehr. Springer Verlag.</w:t>
            </w:r>
          </w:p>
          <w:p w:rsidR="00EA032E" w:rsidRPr="00F5586B" w:rsidRDefault="00EA032E" w:rsidP="00EA032E">
            <w:pPr>
              <w:numPr>
                <w:ilvl w:val="0"/>
                <w:numId w:val="5"/>
              </w:numPr>
            </w:pPr>
            <w:r w:rsidRPr="00F5586B">
              <w:t>Knoflacher H.: Umweltgerechter Verkehr – Innovative Konzepte für den Stadt und Regionalverkehr. Springer Verlag.</w:t>
            </w:r>
          </w:p>
          <w:p w:rsidR="00EA032E" w:rsidRPr="00F5586B" w:rsidRDefault="00EA032E" w:rsidP="00EA032E">
            <w:pPr>
              <w:numPr>
                <w:ilvl w:val="0"/>
                <w:numId w:val="5"/>
              </w:numPr>
              <w:rPr>
                <w:lang w:val="en-US"/>
              </w:rPr>
            </w:pPr>
            <w:r w:rsidRPr="00F5586B">
              <w:rPr>
                <w:lang w:val="en-US"/>
              </w:rPr>
              <w:t>Hensher. D.A. – Button K.J.: Handbook on Transport and Environment. Elsevier. 2003.</w:t>
            </w:r>
          </w:p>
          <w:p w:rsidR="00EA032E" w:rsidRPr="00F5586B" w:rsidRDefault="00EA032E" w:rsidP="00EA032E">
            <w:pPr>
              <w:numPr>
                <w:ilvl w:val="0"/>
                <w:numId w:val="5"/>
              </w:numPr>
            </w:pPr>
            <w:r w:rsidRPr="00F5586B">
              <w:rPr>
                <w:lang w:val="en-US"/>
              </w:rPr>
              <w:t>Feitelson E. – Verhoef E.T.: Transport and Environment. In search of Sustainable Solutions. Edward Elgar. 2001</w:t>
            </w:r>
            <w:r w:rsidRPr="00F5586B">
              <w:t>.</w:t>
            </w:r>
          </w:p>
          <w:p w:rsidR="00EA032E" w:rsidRPr="00F5586B" w:rsidRDefault="00EA032E" w:rsidP="00EA032E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F5586B">
              <w:rPr>
                <w:lang w:val="en-GB"/>
              </w:rPr>
              <w:t xml:space="preserve">A European Federation for Transport and Environment honlapja: </w:t>
            </w:r>
            <w:hyperlink r:id="rId7" w:history="1">
              <w:r w:rsidRPr="00F5586B">
                <w:rPr>
                  <w:rStyle w:val="Hiperhivatkozs"/>
                  <w:lang w:val="en-GB"/>
                </w:rPr>
                <w:t>http://www.transportenvironment.org</w:t>
              </w:r>
            </w:hyperlink>
            <w:r w:rsidRPr="00F5586B">
              <w:rPr>
                <w:lang w:val="en-GB"/>
              </w:rPr>
              <w:t xml:space="preserve"> </w:t>
            </w:r>
          </w:p>
          <w:p w:rsidR="00EA032E" w:rsidRPr="00F5586B" w:rsidRDefault="00EA032E" w:rsidP="00EA032E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F5586B">
              <w:rPr>
                <w:lang w:val="en-GB"/>
              </w:rPr>
              <w:t xml:space="preserve">Mobility and Transport, EC: </w:t>
            </w:r>
            <w:hyperlink r:id="rId8" w:history="1">
              <w:r w:rsidRPr="00F5586B">
                <w:rPr>
                  <w:rStyle w:val="Hiperhivatkozs"/>
                  <w:lang w:val="en-GB"/>
                </w:rPr>
                <w:t>http://ec.europa.eu/transport/index_en</w:t>
              </w:r>
            </w:hyperlink>
          </w:p>
          <w:p w:rsidR="00534A3D" w:rsidRDefault="00534A3D" w:rsidP="00EA032E">
            <w:pPr>
              <w:numPr>
                <w:ilvl w:val="0"/>
                <w:numId w:val="5"/>
              </w:numPr>
            </w:pPr>
            <w:r>
              <w:t>Hensher. D.A. – Button K.J.: Hanbook on Transport and Environment. Elsevier. 2003.</w:t>
            </w:r>
          </w:p>
          <w:p w:rsidR="00534A3D" w:rsidRDefault="00534A3D" w:rsidP="00EA032E">
            <w:pPr>
              <w:numPr>
                <w:ilvl w:val="0"/>
                <w:numId w:val="5"/>
              </w:numPr>
            </w:pPr>
            <w:r>
              <w:t>Feitelson E. – Verhoef E.T.: Transport and Environment. In search of Sustainable Solutions. Edward Elgar. 2001.</w:t>
            </w:r>
          </w:p>
        </w:tc>
      </w:tr>
    </w:tbl>
    <w:p w:rsidR="00534A3D" w:rsidRDefault="00534A3D" w:rsidP="001D2E5B"/>
    <w:sectPr w:rsidR="00534A3D" w:rsidSect="00D6474E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39" w:rsidRDefault="00B03D39">
      <w:r>
        <w:separator/>
      </w:r>
    </w:p>
  </w:endnote>
  <w:endnote w:type="continuationSeparator" w:id="0">
    <w:p w:rsidR="00B03D39" w:rsidRDefault="00B0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39" w:rsidRDefault="00B03D39">
      <w:r>
        <w:separator/>
      </w:r>
    </w:p>
  </w:footnote>
  <w:footnote w:type="continuationSeparator" w:id="0">
    <w:p w:rsidR="00B03D39" w:rsidRDefault="00B0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51F2"/>
    <w:multiLevelType w:val="hybridMultilevel"/>
    <w:tmpl w:val="CF301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0DE0D87"/>
    <w:multiLevelType w:val="hybridMultilevel"/>
    <w:tmpl w:val="248095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D4E34"/>
    <w:multiLevelType w:val="hybridMultilevel"/>
    <w:tmpl w:val="D45C8E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D7AA3"/>
    <w:multiLevelType w:val="singleLevel"/>
    <w:tmpl w:val="1018D0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8F3092"/>
    <w:multiLevelType w:val="hybridMultilevel"/>
    <w:tmpl w:val="D45C8E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3C"/>
    <w:rsid w:val="00000B53"/>
    <w:rsid w:val="00007D14"/>
    <w:rsid w:val="00010048"/>
    <w:rsid w:val="00016CD2"/>
    <w:rsid w:val="0003790D"/>
    <w:rsid w:val="00062440"/>
    <w:rsid w:val="000B29B7"/>
    <w:rsid w:val="000B7650"/>
    <w:rsid w:val="000E27A1"/>
    <w:rsid w:val="000E6AE7"/>
    <w:rsid w:val="00112F76"/>
    <w:rsid w:val="00127F22"/>
    <w:rsid w:val="00136FA8"/>
    <w:rsid w:val="00140740"/>
    <w:rsid w:val="001668CA"/>
    <w:rsid w:val="00174160"/>
    <w:rsid w:val="00180861"/>
    <w:rsid w:val="001A19E0"/>
    <w:rsid w:val="001B708E"/>
    <w:rsid w:val="001D2E5B"/>
    <w:rsid w:val="001E24DB"/>
    <w:rsid w:val="001F41EE"/>
    <w:rsid w:val="002103F3"/>
    <w:rsid w:val="00235846"/>
    <w:rsid w:val="0025757D"/>
    <w:rsid w:val="00264833"/>
    <w:rsid w:val="002703C8"/>
    <w:rsid w:val="00295E6E"/>
    <w:rsid w:val="002A7066"/>
    <w:rsid w:val="002B0ED3"/>
    <w:rsid w:val="002E419B"/>
    <w:rsid w:val="002F4319"/>
    <w:rsid w:val="003165D4"/>
    <w:rsid w:val="00340AFD"/>
    <w:rsid w:val="00354712"/>
    <w:rsid w:val="003C0AD1"/>
    <w:rsid w:val="003C737E"/>
    <w:rsid w:val="003D34F0"/>
    <w:rsid w:val="00405ACB"/>
    <w:rsid w:val="00426DF2"/>
    <w:rsid w:val="00481510"/>
    <w:rsid w:val="004A3652"/>
    <w:rsid w:val="004F66A6"/>
    <w:rsid w:val="00504F0D"/>
    <w:rsid w:val="00514067"/>
    <w:rsid w:val="00521C18"/>
    <w:rsid w:val="00522A18"/>
    <w:rsid w:val="00534A3D"/>
    <w:rsid w:val="005874F9"/>
    <w:rsid w:val="00591E2D"/>
    <w:rsid w:val="00593D5C"/>
    <w:rsid w:val="005B15F5"/>
    <w:rsid w:val="005B6F07"/>
    <w:rsid w:val="005C33D2"/>
    <w:rsid w:val="005D7760"/>
    <w:rsid w:val="00636C7B"/>
    <w:rsid w:val="006811CB"/>
    <w:rsid w:val="006840B3"/>
    <w:rsid w:val="006B7C02"/>
    <w:rsid w:val="006C2DC2"/>
    <w:rsid w:val="006E6151"/>
    <w:rsid w:val="007252BF"/>
    <w:rsid w:val="00764068"/>
    <w:rsid w:val="00766815"/>
    <w:rsid w:val="00782DF5"/>
    <w:rsid w:val="007B0B70"/>
    <w:rsid w:val="007B5562"/>
    <w:rsid w:val="007C236F"/>
    <w:rsid w:val="007C25A2"/>
    <w:rsid w:val="007D20C6"/>
    <w:rsid w:val="007E0D9D"/>
    <w:rsid w:val="00807C97"/>
    <w:rsid w:val="00822362"/>
    <w:rsid w:val="0088613D"/>
    <w:rsid w:val="008C6C9E"/>
    <w:rsid w:val="008C6D52"/>
    <w:rsid w:val="00904009"/>
    <w:rsid w:val="00940B3F"/>
    <w:rsid w:val="00941954"/>
    <w:rsid w:val="00960191"/>
    <w:rsid w:val="00985060"/>
    <w:rsid w:val="0098514A"/>
    <w:rsid w:val="009C662C"/>
    <w:rsid w:val="009E1405"/>
    <w:rsid w:val="009E1B6F"/>
    <w:rsid w:val="009F4F35"/>
    <w:rsid w:val="00A2081D"/>
    <w:rsid w:val="00A45017"/>
    <w:rsid w:val="00A50CB4"/>
    <w:rsid w:val="00A524C7"/>
    <w:rsid w:val="00A55FBC"/>
    <w:rsid w:val="00A613BC"/>
    <w:rsid w:val="00A61667"/>
    <w:rsid w:val="00A626C3"/>
    <w:rsid w:val="00A85377"/>
    <w:rsid w:val="00A906BD"/>
    <w:rsid w:val="00A95292"/>
    <w:rsid w:val="00A9647D"/>
    <w:rsid w:val="00AA061F"/>
    <w:rsid w:val="00AC3641"/>
    <w:rsid w:val="00AD0BE4"/>
    <w:rsid w:val="00AE2D43"/>
    <w:rsid w:val="00B011B5"/>
    <w:rsid w:val="00B03D39"/>
    <w:rsid w:val="00B81E7A"/>
    <w:rsid w:val="00B95958"/>
    <w:rsid w:val="00BB5D14"/>
    <w:rsid w:val="00BD2BD8"/>
    <w:rsid w:val="00BF3E50"/>
    <w:rsid w:val="00C03818"/>
    <w:rsid w:val="00C14611"/>
    <w:rsid w:val="00C23FC5"/>
    <w:rsid w:val="00C27EBC"/>
    <w:rsid w:val="00C30C53"/>
    <w:rsid w:val="00C36CEC"/>
    <w:rsid w:val="00C76E5C"/>
    <w:rsid w:val="00CA1DFA"/>
    <w:rsid w:val="00CB506E"/>
    <w:rsid w:val="00CB6720"/>
    <w:rsid w:val="00CD3553"/>
    <w:rsid w:val="00D10BD5"/>
    <w:rsid w:val="00D11938"/>
    <w:rsid w:val="00D3037E"/>
    <w:rsid w:val="00D34EFE"/>
    <w:rsid w:val="00D43F42"/>
    <w:rsid w:val="00D51D13"/>
    <w:rsid w:val="00D6474E"/>
    <w:rsid w:val="00D80E45"/>
    <w:rsid w:val="00D8481E"/>
    <w:rsid w:val="00D936E0"/>
    <w:rsid w:val="00DB2082"/>
    <w:rsid w:val="00DC234A"/>
    <w:rsid w:val="00DD6791"/>
    <w:rsid w:val="00E0063C"/>
    <w:rsid w:val="00E0625F"/>
    <w:rsid w:val="00E07BDA"/>
    <w:rsid w:val="00E30C65"/>
    <w:rsid w:val="00E56257"/>
    <w:rsid w:val="00E66F91"/>
    <w:rsid w:val="00EA032E"/>
    <w:rsid w:val="00EB03E3"/>
    <w:rsid w:val="00ED0D07"/>
    <w:rsid w:val="00EF580B"/>
    <w:rsid w:val="00F22C58"/>
    <w:rsid w:val="00F3266C"/>
    <w:rsid w:val="00F35C22"/>
    <w:rsid w:val="00F70DBC"/>
    <w:rsid w:val="00F74B9D"/>
    <w:rsid w:val="00FB28C3"/>
    <w:rsid w:val="00FB39D8"/>
    <w:rsid w:val="00FD427C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1AE44-42BD-44CE-A484-9D3E5532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E0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A6166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61667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C737E"/>
    <w:rPr>
      <w:color w:val="0000FF"/>
      <w:u w:val="single"/>
    </w:rPr>
  </w:style>
  <w:style w:type="paragraph" w:styleId="Szvegtrzs">
    <w:name w:val="Body Text"/>
    <w:basedOn w:val="Norml"/>
    <w:link w:val="SzvegtrzsChar"/>
    <w:rsid w:val="003C737E"/>
    <w:pPr>
      <w:widowControl w:val="0"/>
      <w:jc w:val="center"/>
    </w:pPr>
    <w:rPr>
      <w:snapToGrid w:val="0"/>
      <w:szCs w:val="20"/>
    </w:rPr>
  </w:style>
  <w:style w:type="character" w:customStyle="1" w:styleId="SzvegtrzsChar">
    <w:name w:val="Szövegtörzs Char"/>
    <w:basedOn w:val="Bekezdsalapbettpusa"/>
    <w:link w:val="Szvegtrzs"/>
    <w:rsid w:val="00FF1CDF"/>
    <w:rPr>
      <w:snapToGrid w:val="0"/>
      <w:sz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transport/index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nsportenvironme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címe: </vt:lpstr>
    </vt:vector>
  </TitlesOfParts>
  <Company>BME Vasúti Járművek Tanszék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címe:</dc:title>
  <dc:subject/>
  <dc:creator>Szabó András</dc:creator>
  <cp:keywords/>
  <dc:description/>
  <cp:lastModifiedBy>Mészáros Péter</cp:lastModifiedBy>
  <cp:revision>3</cp:revision>
  <cp:lastPrinted>2006-06-28T08:06:00Z</cp:lastPrinted>
  <dcterms:created xsi:type="dcterms:W3CDTF">2019-07-24T08:07:00Z</dcterms:created>
  <dcterms:modified xsi:type="dcterms:W3CDTF">2019-07-24T08:08:00Z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